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03.2020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495"/>
        <w:gridCol w:w="4536"/>
      </w:tblGrid>
      <w:tr>
        <w:tc>
          <w:tcPr>
            <w:tcW w:w="5495" w:type="dxa"/>
            <w:tcBorders>
              <w:left w:val="none"/>
              <w:bottom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редседа</w:t>
            </w:r>
            <w:r>
              <w:rPr>
                <w:sz w:val="28"/>
                <w:szCs w:val="28"/>
              </w:rPr>
              <w:t xml:space="preserve">тель: </w:t>
            </w:r>
            <w:r>
              <w:rPr>
                <w:b w:val="0"/>
                <w:sz w:val="28"/>
                <w:szCs w:val="28"/>
              </w:rPr>
              <w:t xml:space="preserve">Малицкая Е.П.; </w:t>
            </w:r>
          </w:p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лены Общественного совета</w:t>
            </w:r>
            <w:r>
              <w:rPr>
                <w:sz w:val="28"/>
                <w:szCs w:val="28"/>
              </w:rPr>
              <w:t xml:space="preserve"> по НОК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left w:val="none"/>
              <w:bottom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Джурабаева</w:t>
            </w:r>
            <w:r>
              <w:rPr>
                <w:b w:val="0"/>
                <w:sz w:val="28"/>
                <w:szCs w:val="28"/>
              </w:rPr>
              <w:t xml:space="preserve"> М.К., </w:t>
            </w:r>
            <w:r>
              <w:rPr>
                <w:b w:val="0"/>
                <w:sz w:val="28"/>
                <w:szCs w:val="28"/>
              </w:rPr>
              <w:t xml:space="preserve">Камалдинов</w:t>
            </w:r>
            <w:r>
              <w:rPr>
                <w:b w:val="0"/>
                <w:sz w:val="28"/>
                <w:szCs w:val="28"/>
              </w:rPr>
              <w:t xml:space="preserve"> Д.О., </w:t>
            </w:r>
            <w:r>
              <w:rPr>
                <w:b w:val="0"/>
                <w:sz w:val="28"/>
                <w:szCs w:val="28"/>
              </w:rPr>
              <w:t xml:space="preserve">Лесневский</w:t>
            </w:r>
            <w:r>
              <w:rPr>
                <w:b w:val="0"/>
                <w:sz w:val="28"/>
                <w:szCs w:val="28"/>
              </w:rPr>
              <w:t xml:space="preserve"> Ю.Ю., </w:t>
            </w:r>
            <w:r>
              <w:rPr>
                <w:b w:val="0"/>
                <w:sz w:val="28"/>
                <w:szCs w:val="28"/>
              </w:rPr>
              <w:t xml:space="preserve">Филимоненко И.Ю., Чернышева И.Г., Шабанова Н.М., </w:t>
            </w:r>
            <w:r>
              <w:rPr>
                <w:b w:val="0"/>
                <w:sz w:val="28"/>
                <w:szCs w:val="28"/>
              </w:rPr>
              <w:t xml:space="preserve">Шкребнев</w:t>
            </w:r>
            <w:r>
              <w:rPr>
                <w:b w:val="0"/>
                <w:sz w:val="28"/>
                <w:szCs w:val="28"/>
              </w:rPr>
              <w:t xml:space="preserve"> В.В., </w:t>
            </w:r>
            <w:r>
              <w:rPr>
                <w:b w:val="0"/>
                <w:sz w:val="28"/>
                <w:szCs w:val="28"/>
              </w:rPr>
              <w:t xml:space="preserve">Ярохно</w:t>
            </w:r>
            <w:r>
              <w:rPr>
                <w:b w:val="0"/>
                <w:sz w:val="28"/>
                <w:szCs w:val="28"/>
              </w:rPr>
              <w:t xml:space="preserve"> В.И.</w:t>
            </w: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pStyle w:val="a3"/>
              <w:numPr>
                <w:numId w:val="2"/>
                <w:ilvl w:val="0"/>
              </w:numPr>
              <w:spacing w:before="24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Обсуждение и утверждение плана работы Общ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ественного совета по НОК на 2020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документации о закупке на оказание услуг по сбору и обобщению информации о качестве условий оказания услуг организациями социального обслуживания Новосибирской области,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которых проводит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зависимая оценка качества 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</w:tr>
    </w:tbl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Обсуждение и утверждение плана работы Общ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ественного совета по НОК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Общественного совета по НОК Малицкой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проект </w:t>
      </w:r>
      <w:r>
        <w:rPr>
          <w:rFonts w:ascii="Times New Roman" w:hAnsi="Times New Roman" w:cs="Times New Roman"/>
          <w:sz w:val="28"/>
          <w:szCs w:val="28"/>
        </w:rPr>
        <w:t xml:space="preserve">плана работы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нного совета по НОК на 2020 год и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членам Общественного совета по НОК для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или предложений не поступило, члены Общественного совета по НОК утвердили </w:t>
      </w:r>
      <w:r>
        <w:rPr>
          <w:rFonts w:ascii="Times New Roman" w:hAnsi="Times New Roman" w:cs="Times New Roman"/>
          <w:sz w:val="28"/>
          <w:szCs w:val="28"/>
        </w:rPr>
        <w:t xml:space="preserve">плана работы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нного совета по НОК на 2020 год</w:t>
      </w:r>
      <w:r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Общ</w:t>
      </w:r>
      <w:r>
        <w:rPr>
          <w:rFonts w:ascii="Times New Roman" w:hAnsi="Times New Roman" w:cs="Times New Roman"/>
          <w:sz w:val="28"/>
          <w:szCs w:val="28"/>
        </w:rPr>
        <w:t xml:space="preserve">ественного совета по НОК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2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документации о закупке на оказание услуг по сбору и обобщению информации о качестве условий оказания услуг организациями социального обслуживания Новосибирской об</w:t>
      </w:r>
      <w:r>
        <w:rPr>
          <w:rFonts w:ascii="Times New Roman" w:hAnsi="Times New Roman" w:cs="Times New Roman"/>
          <w:b/>
          <w:sz w:val="28"/>
          <w:szCs w:val="28"/>
        </w:rPr>
        <w:t xml:space="preserve">ласти, в отношении которых проводит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ся не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зависимая оценка качества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Общественного совета по НОК Малицкой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членам Общественного совета по НОК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проект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о закупке на оказание услуг по сбору и обобщению информации о качестве условий оказания услуг организациями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в отношении которых проводится независимая оценка качества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и внесения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ВОПРОСУ: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рассмотренный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проект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о закупке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министерству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провести в 2020</w:t>
      </w:r>
      <w:r>
        <w:rPr>
          <w:rFonts w:ascii="Times New Roman" w:hAnsi="Times New Roman" w:cs="Times New Roman"/>
          <w:sz w:val="28"/>
          <w:szCs w:val="28"/>
        </w:rPr>
        <w:t xml:space="preserve"> году закупку на оказание услуг </w:t>
      </w:r>
      <w:r>
        <w:rPr>
          <w:rFonts w:ascii="Times New Roman" w:hAnsi="Times New Roman" w:cs="Times New Roman"/>
          <w:sz w:val="28"/>
          <w:szCs w:val="28"/>
        </w:rPr>
        <w:t xml:space="preserve">по сбору и обобщению информации о качестве условий оказания услуг организациями социального обслуживания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в соответствии с утвержде</w:t>
      </w:r>
      <w:r>
        <w:rPr>
          <w:rFonts w:ascii="Times New Roman" w:hAnsi="Times New Roman" w:cs="Times New Roman"/>
          <w:sz w:val="28"/>
          <w:szCs w:val="28"/>
        </w:rPr>
        <w:t xml:space="preserve">нной документацией (Приложение № 2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Е.П. Малицкая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</w:rPr>
        <w:t xml:space="preserve">1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 8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от 26.03.2020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План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работы Общественного совета по проведению независимой оценки качества оказания услуг организациями социального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служивания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при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министерстве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труда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социального развития Новосибирской области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(далее – 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щественный сов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ет по НОК, министерство) на 2020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 год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268"/>
        <w:gridCol w:w="1418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 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</w:t>
            </w:r>
          </w:p>
        </w:tc>
      </w:tr>
      <w:tr>
        <w:trPr>
          <w:trHeight w:val="951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Общественного совета по НОК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квартал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Общественного совета по НОК на 2020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127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документации о закупке на оказание услуг по сбору и обобщению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качестве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оказания услуг организациями социального обслуживания Новосибирской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74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государственного контракта на оказание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услуг по сбору и обобщению информации о качестве условий оказания услуг организациями социального обс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луживания Новосибирской области,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заключаемого министерством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2020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анкеты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адаптированную оператором по сбору и обобщению информации, а также бланков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протоколов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официальных сайтов организаций социального обслуживания в информационно-телеко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ммуникационной сети «Интернет» и наблюдения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прилегающей территории и помещений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изаций социального обслуживания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28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отчета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оператора о проделанной работе по сбору и обобщению информации о качестве условий оказания услуг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обслужи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Новосибирской области, в отношении которых проведена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независимая оценка качест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условий оказания услуг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995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и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 независимой оценки качества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представленной оператором,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рейти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нгов организаций, направление результатов и рейтингов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министерство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независимой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оценки качества 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 социального обслуживания Новосибирской области в 2020 году, направление их в министерство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16"/>
        </w:trP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перечня организаций социального обслуживания Новосибирской области, в отношении которых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одиться независимая оценка качества условий оказания услуг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отчета о работе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ественного совета по НОК за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дложений по плану работы на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outlineLvl w:val="0"/>
              <w:rPr>
                <w:rFonts w:ascii="Times New Roman" w:hAnsi="Times New Roman"/>
                <w:bCs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Проведение контрольных посещений членам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Общественного совета по НОК организаций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 социального обслуживан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8"/>
              </w:rPr>
              <w:t xml:space="preserve">ия Новосибирской области, в отношении которых проводилась независимая оценка качества условий оказания услуг в 2019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idowControl w:val="off"/>
              <w:tabs>
                <w:tab w:val="left" w:pos="7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реализа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планов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устранению недостатков, выявленных в ходе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независимой оценки качества условий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организациями социального обслуживания Новосибирской области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 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III-IV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c>
          <w:tcPr>
            <w:tcW w:w="675" w:type="dxa"/>
          </w:tcPr>
          <w:p>
            <w:pPr>
              <w:numPr>
                <w:numId w:val="12"/>
                <w:ilvl w:val="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общественными советами, созданными при областных исполнительных органах государственной власти Новосибирской области в социальной сфере,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совместных заседаний - семинаров в целях обмена опытом работы по проведению независимой оценки качеств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оказания услуг организациями социальной сферы Новосибирской области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Общественного совета по НОК Малицкая Е.П.,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Общественного совета по НОК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года</w:t>
            </w:r>
          </w:p>
        </w:tc>
      </w:tr>
    </w:tbl>
    <w:p>
      <w:pPr>
        <w:spacing w:after="0" w:line="259" w:lineRule="auto"/>
        <w:jc w:val="right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 2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 8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от 26.03.2020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ОБЪЕКТА ЗАКУПКИ № 2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услуг по сбору и обобщению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информации 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качестве условий оказания услуг организациями социального обслуживания Новосибирской области, получаемой в целях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проведения независимой оценки качества оказания услуг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: территория 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оказания услуг:</w:t>
      </w:r>
      <w:r>
        <w:rPr>
          <w:rFonts w:ascii="Times New Roman" w:hAnsi="Times New Roman" w:cs="Times New Roman"/>
          <w:sz w:val="24"/>
          <w:szCs w:val="24"/>
        </w:rPr>
        <w:t xml:space="preserve"> со дня заключения Контракта по 31 августа 2020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Количество: 19 (девятнадцать) организаций социального обслуживания Новосибирской области (далее – организации социального обслуживания).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Используемый способ определения Исполнителя</w:t>
      </w:r>
      <w:r>
        <w:rPr>
          <w:rFonts w:ascii="Times New Roman" w:hAnsi="Times New Roman"/>
          <w:sz w:val="24"/>
          <w:szCs w:val="24"/>
        </w:rPr>
        <w:t xml:space="preserve">: открытый конкурс.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Источник финансирования:</w:t>
      </w:r>
      <w:r>
        <w:rPr>
          <w:rFonts w:ascii="Times New Roman" w:hAnsi="Times New Roman"/>
          <w:sz w:val="24"/>
          <w:szCs w:val="24"/>
        </w:rPr>
        <w:t xml:space="preserve"> средства областного бюджета Новосибирской области.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Характеристика услуг: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оказания услуг</w:t>
      </w:r>
      <w:r>
        <w:rPr>
          <w:rFonts w:ascii="Times New Roman" w:hAnsi="Times New Roman"/>
          <w:sz w:val="24"/>
          <w:szCs w:val="24"/>
        </w:rPr>
        <w:t xml:space="preserve">: сбор информации о качестве условий оказания услуг организациями социального обслуживания Новосибирской области и обобщение полученных данных в целях </w:t>
      </w:r>
      <w:r>
        <w:rPr>
          <w:rFonts w:ascii="Times New Roman" w:hAnsi="Times New Roman"/>
          <w:sz w:val="24"/>
          <w:szCs w:val="24"/>
        </w:rPr>
        <w:t xml:space="preserve">проведения независимой оценки качества условий оказания услуг</w:t>
      </w:r>
      <w:r>
        <w:rPr>
          <w:rFonts w:ascii="Times New Roman" w:hAnsi="Times New Roman"/>
          <w:sz w:val="24"/>
          <w:szCs w:val="24"/>
        </w:rPr>
        <w:t xml:space="preserve"> в 2020 году.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 обязан: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2.1. </w:t>
      </w:r>
      <w:r>
        <w:rPr>
          <w:rFonts w:ascii="Times New Roman" w:hAnsi="Times New Roman"/>
          <w:bCs/>
          <w:sz w:val="24"/>
          <w:szCs w:val="24"/>
        </w:rPr>
        <w:t xml:space="preserve">Разработать и согласовать</w:t>
      </w:r>
      <w:r>
        <w:rPr>
          <w:rFonts w:ascii="Times New Roman" w:hAnsi="Times New Roman"/>
          <w:bCs/>
          <w:sz w:val="24"/>
          <w:szCs w:val="24"/>
        </w:rPr>
        <w:t xml:space="preserve"> с Заказчиком в течение 5 рабочих дней со дня, следующего за днем заключения контракта и до дня проведения сбора данных, методику сбора информации в соответствии с действующим законодательством и</w:t>
      </w:r>
      <w:r>
        <w:rPr>
          <w:rFonts w:ascii="Times New Roman" w:hAnsi="Times New Roman"/>
          <w:sz w:val="24"/>
          <w:szCs w:val="24"/>
        </w:rPr>
        <w:t xml:space="preserve"> формы для фиксации первичной информации, обобщения и представления полученных данных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2.2. Провести сбор и обобщение информации о качестве условий оказания услуг организациями социального обслуживания в соответствии 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: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Федеральным законом от 28.12.2013 № 442-ФЗ «Об основах социального обслуживания граждан в Российской Федерации»;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общими критериями независимой оценки качества условий оказания услуг организациями социального обслуживания, порядком и процедурой ее проведения, утвержденными Федеральным законом от 05.12.2017 № 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/>
          <w:sz w:val="24"/>
          <w:szCs w:val="24"/>
        </w:rPr>
        <w:t xml:space="preserve">: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открытость и доступность информации об организации социального обслуживания; 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комфортность условий предоставления социальных услуг, в том числе время ожидания предоставления услуг; 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 для инвалидов; 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доброжелательность, вежливость работников организации социального обслуживания; 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удовлетворенность условиями оказания услуг;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постановлением Правительства Российской Федерации от 31.05.2018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r>
        <w:rPr>
          <w:rFonts w:ascii="Times New Roman" w:hAnsi="Times New Roman"/>
          <w:sz w:val="24"/>
          <w:szCs w:val="24"/>
        </w:rPr>
        <w:t xml:space="preserve">медико-социальной</w:t>
      </w:r>
      <w:r>
        <w:rPr>
          <w:rFonts w:ascii="Times New Roman" w:hAnsi="Times New Roman"/>
          <w:sz w:val="24"/>
          <w:szCs w:val="24"/>
        </w:rPr>
        <w:t xml:space="preserve"> экспертизы»;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полным объемом показателей, характеризующих общие критерии </w:t>
      </w:r>
      <w:r>
        <w:rPr>
          <w:rFonts w:ascii="Times New Roman" w:hAnsi="Times New Roman"/>
          <w:sz w:val="24"/>
          <w:szCs w:val="24"/>
        </w:rPr>
        <w:t xml:space="preserve">оценки качества условий оказания услуг</w:t>
      </w:r>
      <w:r>
        <w:rPr>
          <w:rFonts w:ascii="Times New Roman" w:hAnsi="Times New Roman"/>
          <w:sz w:val="24"/>
          <w:szCs w:val="24"/>
        </w:rPr>
        <w:t xml:space="preserve"> организациями социального обслуживания</w:t>
      </w:r>
      <w:r>
        <w:rPr>
          <w:rFonts w:ascii="Times New Roman" w:hAnsi="Times New Roman"/>
          <w:bCs/>
          <w:sz w:val="24"/>
          <w:szCs w:val="24"/>
        </w:rPr>
        <w:t xml:space="preserve"> и федеральными учреждениями медико-социальной экспертизы</w:t>
      </w:r>
      <w:r>
        <w:rPr>
          <w:rFonts w:ascii="Times New Roman" w:hAnsi="Times New Roman"/>
          <w:sz w:val="24"/>
          <w:szCs w:val="24"/>
        </w:rPr>
        <w:t xml:space="preserve">, утвержденных приказом Министерства труда и </w:t>
      </w:r>
      <w:r>
        <w:rPr>
          <w:rFonts w:ascii="Times New Roman" w:hAnsi="Times New Roman"/>
          <w:sz w:val="24"/>
          <w:szCs w:val="24"/>
        </w:rPr>
        <w:t xml:space="preserve">социальной защиты Российской Федерации от 23.05.2018 № 317н «Об утверждении показателей, характеризующих общие критерии оценки качества условий оказания услуг организациями социального обслуживания</w:t>
      </w:r>
      <w:r>
        <w:rPr>
          <w:rFonts w:ascii="Times New Roman" w:hAnsi="Times New Roman"/>
          <w:bCs/>
          <w:sz w:val="24"/>
          <w:szCs w:val="24"/>
        </w:rPr>
        <w:t xml:space="preserve"> и федеральными учреждениями медико-социальной экспертизы</w:t>
      </w:r>
      <w:r>
        <w:rPr>
          <w:rFonts w:ascii="Times New Roman" w:hAnsi="Times New Roman"/>
          <w:sz w:val="24"/>
          <w:szCs w:val="24"/>
        </w:rPr>
        <w:t xml:space="preserve">»;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приказом Министерства труда и социальной защиты Российской Федерации от 30.10.2018 № 675н «Об утверждении методики выявления и обобщения мнения граждан  о качестве условий оказания услуг  организациями в сфере культуры, охраны здоровья, образования, социального обслуживания и федеральными учреждениями </w:t>
      </w:r>
      <w:r>
        <w:rPr>
          <w:rFonts w:ascii="Times New Roman" w:hAnsi="Times New Roman"/>
          <w:sz w:val="24"/>
          <w:szCs w:val="24"/>
        </w:rPr>
        <w:t xml:space="preserve">медико-социальной</w:t>
      </w:r>
      <w:r>
        <w:rPr>
          <w:rFonts w:ascii="Times New Roman" w:hAnsi="Times New Roman"/>
          <w:sz w:val="24"/>
          <w:szCs w:val="24"/>
        </w:rPr>
        <w:t xml:space="preserve"> экспертизы»;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Министерства труда и социальной защиты Российской Федерации от 31.05.2018 № 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</w:t>
      </w:r>
      <w:r>
        <w:rPr>
          <w:rFonts w:ascii="Times New Roman" w:hAnsi="Times New Roman"/>
          <w:sz w:val="24"/>
          <w:szCs w:val="24"/>
        </w:rPr>
        <w:t xml:space="preserve"> обслуживания и федеральными учреждениями </w:t>
      </w:r>
      <w:r>
        <w:rPr>
          <w:rFonts w:ascii="Times New Roman" w:hAnsi="Times New Roman"/>
          <w:sz w:val="24"/>
          <w:szCs w:val="24"/>
        </w:rPr>
        <w:t xml:space="preserve">медико-социальной</w:t>
      </w:r>
      <w:r>
        <w:rPr>
          <w:rFonts w:ascii="Times New Roman" w:hAnsi="Times New Roman"/>
          <w:sz w:val="24"/>
          <w:szCs w:val="24"/>
        </w:rPr>
        <w:t xml:space="preserve"> экспертизы» (далее – Единый порядок расчета показателей);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приказом Министерства труда и социальной защиты Российской Федерации от 17.11.2014 № 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перечнем организаций социального обслуживания, в отношении которых проводится независимая оценка качества условий оказания услуг в 2020 году, утвержденным Общественным советом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(протокол от 26.12.2019 № 7), прилагаемым к настоящему объекту закупки (приложение № 1 к Описанию объекта закупки);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дополнительными показателями, утвержденными Общественным советом по проведению независимой </w:t>
      </w:r>
      <w:r>
        <w:rPr>
          <w:rFonts w:ascii="Times New Roman" w:hAnsi="Times New Roman"/>
          <w:sz w:val="24"/>
          <w:szCs w:val="24"/>
        </w:rPr>
        <w:t xml:space="preserve">оценки качества условий оказания услуг</w:t>
      </w:r>
      <w:r>
        <w:rPr>
          <w:rFonts w:ascii="Times New Roman" w:hAnsi="Times New Roman"/>
          <w:sz w:val="24"/>
          <w:szCs w:val="24"/>
        </w:rPr>
        <w:t xml:space="preserve"> организациями социального обслуживания при министерстве труда и социального развития Новосибирской области: анализ паспортов доступности организации социального обслуживания; норм площади помещений, занимаемых организацией социального обслуживания, по отношению к количеству обслуживаемых клиентов.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2.3. </w:t>
      </w:r>
      <w:r>
        <w:rPr>
          <w:rFonts w:ascii="Times New Roman" w:hAnsi="Times New Roman"/>
          <w:bCs/>
          <w:sz w:val="24"/>
          <w:szCs w:val="24"/>
        </w:rPr>
        <w:t xml:space="preserve">Разработать и согласовать</w:t>
      </w:r>
      <w:r>
        <w:rPr>
          <w:rFonts w:ascii="Times New Roman" w:hAnsi="Times New Roman"/>
          <w:bCs/>
          <w:sz w:val="24"/>
          <w:szCs w:val="24"/>
        </w:rPr>
        <w:t xml:space="preserve"> с Заказчиком инструментарий в течение 5 рабочих дней со дня, следующего за днем заключения Контракта и до дня проведения  сбора информации, а именно: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бланк протокола мониторинга и анализа информационной доступности официальных сайтов организаций социального обслуживания в информационно-телекоммуникационной сети «Интернет», с включением фиксации наличия и функционирования дистанционных способов обратной связи и взаимодействия с получателями услуг</w:t>
      </w:r>
      <w:r>
        <w:rPr>
          <w:rFonts w:ascii="Times New Roman" w:hAnsi="Times New Roman" w:cs="Times New Roman"/>
          <w:sz w:val="24"/>
          <w:szCs w:val="24"/>
        </w:rPr>
        <w:t xml:space="preserve">, а также наличия разделов «Независимая оценка качества», содержащих планы по устранению недостатков, выявленных в ходе независимой оценки качества условий оказания услуг в предыдущие годы, и отчетов об их выполнении</w:t>
      </w:r>
      <w:r>
        <w:rPr>
          <w:rFonts w:ascii="Times New Roman" w:hAnsi="Times New Roman"/>
          <w:bCs/>
          <w:sz w:val="24"/>
          <w:szCs w:val="24"/>
        </w:rPr>
        <w:t xml:space="preserve">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бланк протокола проведения </w:t>
      </w:r>
      <w:r>
        <w:rPr>
          <w:rFonts w:ascii="Times New Roman" w:hAnsi="Times New Roman"/>
          <w:bCs/>
          <w:sz w:val="24"/>
          <w:szCs w:val="24"/>
        </w:rPr>
        <w:t xml:space="preserve">включенного структурированного наблюдения прилегающей территории и помещений организаций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для фиксации информации,</w:t>
      </w:r>
      <w:r>
        <w:rPr>
          <w:rFonts w:ascii="Times New Roman" w:hAnsi="Times New Roman"/>
          <w:bCs/>
          <w:sz w:val="24"/>
          <w:szCs w:val="24"/>
        </w:rPr>
        <w:t xml:space="preserve"> размещенной на информационных стендах внутри помещений, комфортности условий предоставления услуг, доступности их для инвалидов, используя при сборе информации экспертно-визуальные способы;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адаптированную анкету 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объем выборочной совокупности респондентов (численность получателей услуг, подлежащих опросу) по каждой организации социального обслуживания в соответствии с утвержденной Министерством труда и социальной защиты Российской Федерации методикой выявления и обобщения мнения граждан о качестве условий оказания услуг  организациями в сфере культуры, охраны здоровья, образования, социального обслуживания и федеральными учреждениями медико-социальной экспертизы (пункт 2.2), формируя их с учетом получения сопоставимых результатов по</w:t>
      </w:r>
      <w:r>
        <w:rPr>
          <w:rFonts w:ascii="Times New Roman" w:hAnsi="Times New Roman"/>
          <w:bCs/>
          <w:sz w:val="24"/>
          <w:szCs w:val="24"/>
        </w:rPr>
        <w:t xml:space="preserve"> формам социального обслуживания (стационарной, полустационарной, надомной);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формы для фиксации первичной информации и представления полученных данных.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2.4. Составить график выездов в организации социального обслуживания и согласовать его с Заказчиком в течение 5 рабочих дней со дня, следующего за днем заключения контракта и до начала сбора информации.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 Источниками информации о качестве условий оказания услуг являются: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официальные сайты организаций социального обслуживания в информационно-телекоммуникационной сети «Интернет», информационные стенды в помещениях организаций социального обслуживания;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результаты изучения условий оказания услуг организаций социального обслуживания, включающие: наличие и функционирование дистанционных способов обратной связи и взаимодействия с получателями услуг, обеспечение комфортных условий предоставления услуг, обеспечение доступности для инвалидов помещений указанных организаций, прилегающих территорий и предоставляемых услуг;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мнение получателей услуг о качестве условий оказания услуг организациями социального обслуживания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сайте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организаций социального обслуживания).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 Осуществить «полевые» исследования с выездом в организации социального обслуживания по согласованному графику, указанному в п.2.4, и провести сбор информации в каждой организации социального обслуживания в соответствии с инструментарием, указанным в пункте 2.3, включающие: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выезд в каждую организацию социального обслуживания с посещением всех ее филиалов для проведения </w:t>
      </w:r>
      <w:r>
        <w:rPr>
          <w:rFonts w:ascii="Times New Roman" w:hAnsi="Times New Roman"/>
          <w:bCs/>
          <w:sz w:val="24"/>
          <w:szCs w:val="24"/>
        </w:rPr>
        <w:t xml:space="preserve">включенного структурированного наблюдения и фиксации в протокол наблюдения (пункт 2.3) первичной информации, фотографирования наблюдаемых параметров;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опрос получателей социальных услуг по адаптированной анкете в соответствии с согласованным объемом выборочной совокупности респондентов по каждой организации социального обслуживания согласно пункту 2.3 (не менее 4641 респондентов, из которых 339 получают социальные услуги в стационарной форме; 2757 получают социальные услуги в полустационарной форме; 1645 получают социальные услуги на дому);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мониторинг официального сайта организации социального обслуживания с анализом его удобства поиска в основных используемых браузерах, структурного наполнения, полноты и актуальности размещенной информации и фиксации в протокол мониторинга (пункт 2.3), наличия и функционирования дистанционных способов обратной связи и взаимодействия с получателями услуг, наличия разделов «Независимая оценка качества», </w:t>
      </w:r>
      <w:r>
        <w:rPr>
          <w:rFonts w:ascii="Times New Roman" w:hAnsi="Times New Roman" w:cs="Times New Roman"/>
          <w:sz w:val="24"/>
          <w:szCs w:val="24"/>
        </w:rPr>
        <w:t xml:space="preserve">содержащих планы по устранению недостатков, выявленных в ходе независимой оценки качества условий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в предыдущие годы, и отчетов об их выполнении</w:t>
      </w:r>
      <w:r>
        <w:rPr>
          <w:rFonts w:ascii="Times New Roman" w:hAnsi="Times New Roman"/>
          <w:bCs/>
          <w:sz w:val="24"/>
          <w:szCs w:val="24"/>
        </w:rPr>
        <w:t xml:space="preserve">;</w:t>
      </w:r>
    </w:p>
    <w:p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 Сформировать и представить Заказчику для проверки не позднее, чем за 10 рабочих дней до дня завершения исполнения контракта, массивы собранных первичных данных (электронную базу собранной информации) по каждому показателю, характеризующему общие критерии </w:t>
      </w:r>
      <w:r>
        <w:rPr>
          <w:rFonts w:ascii="Times New Roman" w:hAnsi="Times New Roman"/>
          <w:sz w:val="24"/>
          <w:szCs w:val="24"/>
        </w:rPr>
        <w:t xml:space="preserve">оценки качества условий оказания услуг</w:t>
      </w:r>
      <w:r>
        <w:rPr>
          <w:rFonts w:ascii="Times New Roman" w:hAnsi="Times New Roman"/>
          <w:sz w:val="24"/>
          <w:szCs w:val="24"/>
        </w:rPr>
        <w:t xml:space="preserve"> организациями социального обслуживания, с учетом сведений, представленных организациями социального обслуживания.</w:t>
      </w:r>
    </w:p>
    <w:p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2.8. </w:t>
      </w:r>
      <w:r>
        <w:rPr>
          <w:rFonts w:ascii="Times New Roman" w:hAnsi="Times New Roman"/>
          <w:sz w:val="24"/>
          <w:szCs w:val="24"/>
        </w:rPr>
        <w:t xml:space="preserve">Рассчитать по каждой организации социального обслуживания значения показателей, характеризующих общие критерии оценки качества условий оказания услуг организациями социального обслуживания, в баллах по формулам, установленным Единым порядком расчета показателей, полученные результаты расчетов обобщить в единую информационную таблицу в разрезе по каждой организации социального обслуживания и показателям с разбивкой их значений по составляющим показателей, а также в формате, пригодном для размещения на</w:t>
      </w:r>
      <w:r>
        <w:rPr>
          <w:rFonts w:ascii="Times New Roman" w:hAnsi="Times New Roman"/>
          <w:sz w:val="24"/>
          <w:szCs w:val="24"/>
        </w:rPr>
        <w:t xml:space="preserve"> официальном </w:t>
      </w:r>
      <w:r>
        <w:rPr>
          <w:rFonts w:ascii="Times New Roman" w:hAnsi="Times New Roman"/>
          <w:sz w:val="24"/>
          <w:szCs w:val="24"/>
        </w:rPr>
        <w:t xml:space="preserve">сайте</w:t>
      </w:r>
      <w:r>
        <w:rPr>
          <w:rFonts w:ascii="Times New Roman" w:hAnsi="Times New Roman"/>
          <w:sz w:val="24"/>
          <w:szCs w:val="24"/>
        </w:rPr>
        <w:t xml:space="preserve"> для размещения информации о государственных и муниципальных учреждениях в информационно-телекоммуникационной сети «Интернет» (www.bus.gov.ru).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рассчитать показатель оценки качества по отрасли социального обслуживания Новосибирской области. Провести проверку полученных результатов различными математическими методами, в том числе методом триангуляции, и сопоставить полученные расчетные данные, со сведениями, представленными организациями социального обслуживания.</w:t>
      </w:r>
    </w:p>
    <w:p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 По результатам подсчета баллов выстроить рейтинги организаций социального обслуживания по каждому из показателей, характеризующих общие критерии </w:t>
      </w:r>
      <w:r>
        <w:rPr>
          <w:rFonts w:ascii="Times New Roman" w:hAnsi="Times New Roman"/>
          <w:sz w:val="24"/>
          <w:szCs w:val="24"/>
        </w:rPr>
        <w:t xml:space="preserve">оценки качества условий оказания услуг</w:t>
      </w:r>
      <w:r>
        <w:rPr>
          <w:rFonts w:ascii="Times New Roman" w:hAnsi="Times New Roman"/>
          <w:sz w:val="24"/>
          <w:szCs w:val="24"/>
        </w:rPr>
        <w:t xml:space="preserve"> организациями социального обслуживания, и общий рейтинг организаций социального обслуживания.</w:t>
      </w:r>
    </w:p>
    <w:p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 Систематизировать выявленные проблемы по каждому показателю, характеризующему общие критерии </w:t>
      </w:r>
      <w:r>
        <w:rPr>
          <w:rFonts w:ascii="Times New Roman" w:hAnsi="Times New Roman"/>
          <w:sz w:val="24"/>
          <w:szCs w:val="24"/>
        </w:rPr>
        <w:t xml:space="preserve">оценки качества условий оказания услуг</w:t>
      </w:r>
      <w:r>
        <w:rPr>
          <w:rFonts w:ascii="Times New Roman" w:hAnsi="Times New Roman"/>
          <w:sz w:val="24"/>
          <w:szCs w:val="24"/>
        </w:rPr>
        <w:t xml:space="preserve"> организациями социального обслуживания, представив результаты в виде таблиц.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2.11. </w:t>
      </w:r>
      <w:r>
        <w:rPr>
          <w:rFonts w:ascii="Times New Roman" w:hAnsi="Times New Roman"/>
          <w:sz w:val="24"/>
          <w:szCs w:val="24"/>
        </w:rPr>
        <w:t xml:space="preserve">Подготовить и передать Заказчику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итоговый отчет по каждой организации социального обслуживания о выполненных работах по сбору и обобщению информации о качестве условий оказания услуг на бумажном носителе или в формате электронного документа, а также в электронном виде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в информационно-телекоммуникационной сети</w:t>
      </w:r>
      <w:r>
        <w:rPr>
          <w:rFonts w:ascii="Times New Roman" w:hAnsi="Times New Roman"/>
          <w:sz w:val="24"/>
          <w:szCs w:val="24"/>
        </w:rPr>
        <w:t xml:space="preserve"> «Интернет» (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 xml:space="preserve">www.bus.gov.ru</w:t>
        </w:r>
      </w:hyperlink>
      <w:r>
        <w:rPr>
          <w:rFonts w:ascii="Times New Roman" w:hAnsi="Times New Roman"/>
          <w:sz w:val="24"/>
          <w:szCs w:val="24"/>
        </w:rPr>
        <w:t xml:space="preserve">), который должен содержать: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перечень организаций социального обслуживания, в отношении которых проводились сбор и обобщение информации о качестве условий оказания услуг;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результаты обобщения информации, размещенной на официальных сайтах организаций социального обслуживания, с указанием даты проведения мониторинга, адресов сайтов в информационно-телекоммуникационной сети «Интернет»,</w:t>
      </w:r>
      <w:r>
        <w:rPr>
          <w:rFonts w:ascii="Times New Roman" w:hAnsi="Times New Roman"/>
          <w:bCs/>
          <w:sz w:val="24"/>
          <w:szCs w:val="24"/>
        </w:rPr>
        <w:t xml:space="preserve"> наличия и функционирования дистанционных способов обратной связи и взаимодействия с получателями услуг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наличия разделов «Независимая оценка качества», содержащих планы по устранению недостатков, выявленных в ходе независимой оценки качества условий оказания услуг в предыдущие годы, и отчетов об их выполнении;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результаты обобщения информации по итогам проведения опросов граждан об удовлетворенности качеством условий оказания услуг и анализом выявленных предложений опрошенных, в том числе объем и параметры выборочной совокупности респондентов, в том числе</w:t>
      </w:r>
      <w:r>
        <w:rPr>
          <w:rFonts w:ascii="Times New Roman" w:hAnsi="Times New Roman"/>
          <w:sz w:val="24"/>
          <w:szCs w:val="24"/>
        </w:rPr>
        <w:t xml:space="preserve"> оригиналы опросных листов респондентов или их сканированные копии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значения по каждому показателю, характеризующему общие критерии </w:t>
      </w:r>
      <w:r>
        <w:rPr>
          <w:rFonts w:ascii="Times New Roman" w:hAnsi="Times New Roman" w:cs="Times New Roman"/>
          <w:sz w:val="24"/>
          <w:szCs w:val="24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социального обслуживания (в баллах), рассчитанные в соответствии с Единым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 xml:space="preserve"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показателей</w:t>
      </w:r>
      <w:r>
        <w:rPr>
          <w:rFonts w:ascii="Times New Roman" w:hAnsi="Times New Roman"/>
          <w:sz w:val="24"/>
          <w:szCs w:val="24"/>
        </w:rPr>
        <w:t xml:space="preserve"> с приложением протоколов наблюдений, фотоматериалов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основные недостатки в работе организаций социального обслуживания, выявленные в ходе сбора и обобщения информации о качестве условий оказания услуг;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выводы и предложения по совершенствованию деятельности организаций социального обслуживания.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 Исполнитель гарантирует, что оказываемые услуги соответствуют требованиям, установленным в контракте, а так же основным требованиям законодательства Российской Федерации регулирующую деятельность по независимой оценке качества условий оказания услуг, актуальные на момент оказания услуг.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Дополнительные требования к Исполнителю: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(согласно методическим рекомендациям Министерства труда и социальной защиты Российской Федерации):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Отсутствие конфликта интересов в отношении объекта оценки (Исполнителем не могут быть государственные и муниципальные организации, которые непосредственно сами оказывают услуги населению в сфере культуры, социального обслуживания, охраны здоровья и образования);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Обеспечение открытости и доступности информации о деятельности Исполнителя, включая информацию о методах и каналах сбора, обобщения и анализа информации, опросные листы респондентов, обоснование выборки для опроса и представление этих сведений Заказчику; наличие сайта в информационно-телекоммуникационной сети «Интернет»;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 Наличие у Исполнителя финансовых ресурсов, оборудования и других материальных ресурсов, принадлежащих ему на праве собственности или на ином законном основании;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 Наличие у работников Исполнителя, задействованных в выполнении работ по сбору, обобщению и анализу информации о качестве услуг, необходимой квалификации (в том числе профессиональное образование, опыт работы, связанного со сбором, обобщением и анализом информации о качестве оказания услуг, деловой репутации, наличие достаточной численности таких работников), но не менее пяти человек.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 Наличие у Исполнителя опыта аналитической деятельности, связанной с оказанием услуг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сбору, обобщению и анализу информации о качестве оказания услуг, не менее двух лет.</w:t>
      </w:r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 Отсутствие организации Исполнителя в реестре недобросовестных поставщиков по результатам оказания услуг в рамках исполнения контрактов, заключенных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</w:t>
      </w:r>
      <w:bookmarkStart w:id="1" w:name="Par0"/>
      <w:bookmarkStart w:id="2" w:name="Par18"/>
      <w:bookmarkEnd w:id="1"/>
      <w:bookmarkEnd w:id="2"/>
    </w:p>
    <w:p>
      <w:pPr>
        <w:spacing w:before="24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 1</w:t>
      </w:r>
    </w:p>
    <w:p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Описанию объекта закупки</w:t>
      </w:r>
    </w:p>
    <w:p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организаций социального обслуживания Новосибирской области, </w:t>
      </w:r>
    </w:p>
    <w:p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отношении</w:t>
      </w:r>
      <w:r>
        <w:rPr>
          <w:rFonts w:ascii="Times New Roman" w:hAnsi="Times New Roman"/>
          <w:b/>
          <w:sz w:val="24"/>
          <w:szCs w:val="24"/>
        </w:rPr>
        <w:t xml:space="preserve"> которых проводится независимая оценка качества </w:t>
      </w:r>
    </w:p>
    <w:p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условий оказания услуг в 2020 году</w:t>
      </w:r>
    </w:p>
    <w:p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56"/>
      </w:tblGrid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Баганского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Барабинского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«Комплексный центр социального обслуживания населения Венгеровского района»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Доволенского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населения Карасукского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«Комплексный центр социального обслуживания населения Каргатского района</w:t>
            </w:r>
            <w:hyperlink r:id="rId9" w:history="1" w:tgtFrame="_blank">
              <w:r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 xml:space="preserve">»</w:t>
              </w:r>
            </w:hyperlink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Кочковского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населения» Куйбышевского района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Купинского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Кыштовского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Ордынского района Новосибирской области «Комплексный центр социального обслуживания населения»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«Центр социального обслуживания населения» Убинского района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населения»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Усть-Таркского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Чановского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Новосибирска Центр реабилитации детей и подростков с ограниченными возможностями «Надежда»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города Новосибирска Центр реабилитации детей и подростков с ограниченными возможностями «Олеся»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города Новосибирска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Социально-оздоровительный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«Территория развития»</w:t>
            </w:r>
          </w:p>
        </w:tc>
      </w:tr>
    </w:tbl>
    <w:p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://www.bus.gov.ru" TargetMode="External"/><Relationship Id="rId8" Type="http://schemas.openxmlformats.org/officeDocument/2006/relationships/hyperlink" Target="consultantplus://offline/ref=470A874301C3C569EFBB0ED2D1138353041DDAEA2FAE8A593C7ADF9A0153B52E9BD32BC24A99540D1504CF5E174A04ECDC7D0C9E8D9FBC20DBzEJ" TargetMode="External"/><Relationship Id="rId9" Type="http://schemas.openxmlformats.org/officeDocument/2006/relationships/hyperlink" Target="http://kolivankcson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22051</Characters>
  <CharactersWithSpaces>25868</CharactersWithSpaces>
  <Company>PNO</Company>
  <DocSecurity>0</DocSecurity>
  <HyperlinksChanged>false</HyperlinksChanged>
  <Lines>183</Lines>
  <LinksUpToDate>false</LinksUpToDate>
  <Pages>11</Pages>
  <Paragraphs>51</Paragraphs>
  <ScaleCrop>false</ScaleCrop>
  <SharedDoc>false</SharedDoc>
  <Template>Normal</Template>
  <TotalTime>171</TotalTime>
  <Words>3868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21</cp:revision>
  <cp:lastPrinted>2019-02-13T08:48:00Z</cp:lastPrinted>
  <dcterms:created xsi:type="dcterms:W3CDTF">2019-02-11T07:25:00Z</dcterms:created>
  <dcterms:modified xsi:type="dcterms:W3CDTF">2020-03-26T10:03:00Z</dcterms:modified>
</cp:coreProperties>
</file>