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УТВЕРЖДАЮ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Председатель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Общественного совета по НОК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_________________Е.П. Малицкая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декабря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2023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u w:val="single"/>
          <w:lang w:eastAsia="en-US"/>
        </w:rPr>
        <w:t xml:space="preserve"> года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оказания услуг организациями социального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служивания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при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министерстве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труда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щественный сов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ет по НОК, министерство) на 2024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год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789"/>
        <w:gridCol w:w="23"/>
        <w:gridCol w:w="2237"/>
        <w:gridCol w:w="31"/>
        <w:gridCol w:w="1382"/>
        <w:gridCol w:w="36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</w:p>
        </w:tc>
        <w:tc>
          <w:tcPr>
            <w:tcW w:w="5812" w:type="dxa"/>
            <w:gridSpan w:val="2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Общественного совета по НОК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документации о закупке на оказание услуг по сбору и анализу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качестве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оказания услуг организациями социального обслуживания Новосибирской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(февраль)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связи с истечением срока полномочий действующего состава Общественного совета по НОК в марте 2024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и рассмотреть 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деятельности Общественного совета по НОК за 3 года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года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(февраль)</w:t>
            </w:r>
          </w:p>
        </w:tc>
      </w:tr>
      <w:tr>
        <w:trPr>
          <w:gridAfter w:val="1"/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9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государственного контракта на оказание услуг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о качестве условий оказания услуг организациями социального обс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луживания Новосибирской области,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заключаемого министерством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2024 году</w:t>
            </w:r>
          </w:p>
        </w:tc>
        <w:tc>
          <w:tcPr>
            <w:tcW w:w="2260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3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анкеты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опроса получателей услуг о качестве условий оказания услуг организациями социального обслуживания в целях выявления мнения граждан 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удовлетворенности условиями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адаптированную оператором по сбору и обобщению информации, а также бланков протоколов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официальных сайтов организаций социального обслуживания в информационно-телеко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ммуникационной сети «Интернет» и наблюдения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прилегающей территории и помещений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изаций социального обслуживания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74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отчета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оператора о продела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работе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о качестве условий оказания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Новосибирской области, в отношении которых 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независимая оценка качест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условий оказания услуг 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итогов независимой оценки качества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оказания услуг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представленной оператором,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рейти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нгов организаций, направление результатов и рейтингов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министерство 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рекомендаций и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независимой оценки качества условий оказания услуг организациями социального обслуживания Новосибирской области в 2024 году, направление их в министерство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995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перечня организаций социального обслуживания Новосибирской области, в отношении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одиться независимая оценка качества условий оказания услуг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за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дложений по плану работы на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Общественного совета по НОК на 2025 год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 Общественного совета по НОК организаций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 социального обслуживан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ия Новосибирской области, в отношении которых проводится независимая оценка качества условий оказания услуг в 2024 году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планов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независимой оценки качества условий оказания услуг организациями социального обслуживания Новосибирской области в 2023 году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совместных заседаний - семинаров в целях обмена опытом работы по проведению независимой оценки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оказания услуг организациями социальной сферы Новосибирской области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2" w:customStyle="1">
    <w:name w:val="Сетка таблицы2"/>
    <w:basedOn w:val="a1"/>
    <w:next w:val="a9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4355</Characters>
  <CharactersWithSpaces>5109</CharactersWithSpaces>
  <Company>PNO</Company>
  <DocSecurity>0</DocSecurity>
  <HyperlinksChanged>false</HyperlinksChanged>
  <Lines>36</Lines>
  <LinksUpToDate>false</LinksUpToDate>
  <Pages>3</Pages>
  <Paragraphs>10</Paragraphs>
  <ScaleCrop>false</ScaleCrop>
  <SharedDoc>false</SharedDoc>
  <Template>Normal</Template>
  <TotalTime>347</TotalTime>
  <Words>764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Середа Елена Валерьевна</cp:lastModifiedBy>
  <cp:revision>40</cp:revision>
  <cp:lastPrinted>2022-12-20T08:13:00Z</cp:lastPrinted>
  <dcterms:created xsi:type="dcterms:W3CDTF">2019-02-11T07:25:00Z</dcterms:created>
  <dcterms:modified xsi:type="dcterms:W3CDTF">2023-12-18T08:16:00Z</dcterms:modified>
</cp:coreProperties>
</file>