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5B" w:rsidRPr="00105293" w:rsidRDefault="00CA785B" w:rsidP="00CA785B">
      <w:pPr>
        <w:jc w:val="center"/>
        <w:rPr>
          <w:b/>
        </w:rPr>
      </w:pPr>
      <w:r w:rsidRPr="00105293">
        <w:rPr>
          <w:b/>
        </w:rPr>
        <w:t>Информация</w:t>
      </w:r>
    </w:p>
    <w:p w:rsidR="00CA785B" w:rsidRPr="009745C2" w:rsidRDefault="00CA785B" w:rsidP="00CA785B">
      <w:pPr>
        <w:jc w:val="center"/>
        <w:rPr>
          <w:rFonts w:eastAsia="Calibri"/>
        </w:rPr>
      </w:pPr>
      <w:proofErr w:type="gramStart"/>
      <w:r w:rsidRPr="00105293">
        <w:rPr>
          <w:rFonts w:eastAsia="Calibri"/>
        </w:rPr>
        <w:t>о</w:t>
      </w:r>
      <w:proofErr w:type="gramEnd"/>
      <w:r w:rsidRPr="00105293">
        <w:rPr>
          <w:rFonts w:eastAsia="Calibri"/>
        </w:rPr>
        <w:t xml:space="preserve"> ходе исполнения </w:t>
      </w:r>
      <w:proofErr w:type="spellStart"/>
      <w:r w:rsidRPr="00105293">
        <w:rPr>
          <w:rFonts w:eastAsia="Calibri"/>
        </w:rPr>
        <w:t>п</w:t>
      </w:r>
      <w:r w:rsidR="00105293">
        <w:rPr>
          <w:rFonts w:eastAsia="Calibri"/>
        </w:rPr>
        <w:t>п</w:t>
      </w:r>
      <w:proofErr w:type="spellEnd"/>
      <w:r w:rsidR="00105293">
        <w:rPr>
          <w:rFonts w:eastAsia="Calibri"/>
        </w:rPr>
        <w:t>. </w:t>
      </w:r>
      <w:r w:rsidRPr="00105293">
        <w:rPr>
          <w:rFonts w:eastAsia="Calibri"/>
        </w:rPr>
        <w:t>«а» п</w:t>
      </w:r>
      <w:r w:rsidR="00105293">
        <w:rPr>
          <w:rFonts w:eastAsia="Calibri"/>
        </w:rPr>
        <w:t>. </w:t>
      </w:r>
      <w:r w:rsidRPr="00105293">
        <w:rPr>
          <w:rFonts w:eastAsia="Calibri"/>
        </w:rPr>
        <w:t xml:space="preserve">3 </w:t>
      </w:r>
      <w:r w:rsidR="00D41818" w:rsidRPr="00105293">
        <w:rPr>
          <w:rFonts w:eastAsia="Calibri"/>
        </w:rPr>
        <w:t>п</w:t>
      </w:r>
      <w:r w:rsidRPr="00105293">
        <w:rPr>
          <w:rFonts w:eastAsia="Calibri"/>
        </w:rPr>
        <w:t xml:space="preserve">еречня поручений Президента Российской Федерации </w:t>
      </w:r>
      <w:r w:rsidR="00B02CAC" w:rsidRPr="00105293">
        <w:rPr>
          <w:rFonts w:eastAsia="Calibri"/>
        </w:rPr>
        <w:t xml:space="preserve">от 10.04.2022 № Пр-622 </w:t>
      </w:r>
      <w:r w:rsidRPr="00105293">
        <w:rPr>
          <w:rFonts w:eastAsia="Calibri"/>
        </w:rPr>
        <w:t xml:space="preserve">по итогам совещания о мерах социально-экономической поддержки субъектов Российской Федерации 16 марта 2022 года </w:t>
      </w:r>
      <w:r w:rsidR="00D41818" w:rsidRPr="00105293">
        <w:rPr>
          <w:rFonts w:eastAsia="Calibri"/>
        </w:rPr>
        <w:t>на 01.0</w:t>
      </w:r>
      <w:r w:rsidR="00B02CAC" w:rsidRPr="00105293">
        <w:rPr>
          <w:rFonts w:eastAsia="Calibri"/>
        </w:rPr>
        <w:t>7</w:t>
      </w:r>
      <w:r w:rsidR="00D41818" w:rsidRPr="00105293">
        <w:rPr>
          <w:rFonts w:eastAsia="Calibri"/>
        </w:rPr>
        <w:t>.2024</w:t>
      </w:r>
    </w:p>
    <w:p w:rsidR="008560CA" w:rsidRPr="00A903B7" w:rsidRDefault="008560CA" w:rsidP="00625530">
      <w:pPr>
        <w:jc w:val="center"/>
        <w:rPr>
          <w:rFonts w:eastAsia="Calibri"/>
        </w:rPr>
      </w:pPr>
    </w:p>
    <w:p w:rsidR="00105293" w:rsidRPr="00984270" w:rsidRDefault="00105293" w:rsidP="00105293">
      <w:pPr>
        <w:widowControl w:val="0"/>
        <w:adjustRightInd w:val="0"/>
        <w:ind w:firstLine="709"/>
        <w:jc w:val="both"/>
        <w:textAlignment w:val="baseline"/>
      </w:pPr>
      <w:r w:rsidRPr="00DC138E">
        <w:rPr>
          <w:shd w:val="clear" w:color="auto" w:fill="FFFFFF"/>
        </w:rPr>
        <w:t>В Новосибирской области демонстрируется устойчивая динамика снижения уровня бедности. Численность населения с денежными доходами ниже границы бедности (величины прожиточного минимума), в % от общей численности населения, снизилась с 2015 года на 7,7 процентного пункта: с 17,3% до 9,6% в 2023 году</w:t>
      </w:r>
      <w:r>
        <w:rPr>
          <w:shd w:val="clear" w:color="auto" w:fill="FFFFFF"/>
        </w:rPr>
        <w:t>. О</w:t>
      </w:r>
      <w:r w:rsidRPr="00DC138E">
        <w:rPr>
          <w:shd w:val="clear" w:color="auto" w:fill="FFFFFF"/>
        </w:rPr>
        <w:t>ценка на 2024 год составляет 9,2</w:t>
      </w:r>
      <w:r>
        <w:rPr>
          <w:shd w:val="clear" w:color="auto" w:fill="FFFFFF"/>
        </w:rPr>
        <w:t xml:space="preserve">%, что на 1,8 процентного пункта ниже </w:t>
      </w:r>
      <w:r w:rsidRPr="00984270">
        <w:t>значения, установленного Единым планом по достижению национальных целей развития Российской Федерации на перио</w:t>
      </w:r>
      <w:bookmarkStart w:id="0" w:name="_GoBack"/>
      <w:bookmarkEnd w:id="0"/>
      <w:r w:rsidRPr="00984270">
        <w:t>д до 2024 года и на плановый период до 2030 года, утвержденным распоряжением Правительства Российской Ф</w:t>
      </w:r>
      <w:r>
        <w:t>едерации от 01.10.2021 № 2765-р, для Новосибирской области на 2024 год.</w:t>
      </w:r>
    </w:p>
    <w:p w:rsidR="00105293" w:rsidRPr="00DC138E" w:rsidRDefault="00105293" w:rsidP="00105293">
      <w:pPr>
        <w:widowControl w:val="0"/>
        <w:adjustRightInd w:val="0"/>
        <w:ind w:firstLine="709"/>
        <w:jc w:val="both"/>
        <w:textAlignment w:val="baseline"/>
      </w:pPr>
      <w:r w:rsidRPr="00DC138E">
        <w:t>В целях устойчивого роста доходов населения и снижения уровня бедности в Новосибирской области в соответствии с Указом Президента Российской Федерации от 07.05.2024 №</w:t>
      </w:r>
      <w:r w:rsidR="00DB1B65">
        <w:t> </w:t>
      </w:r>
      <w:r w:rsidRPr="00DC138E">
        <w:t>309 «О национальных целях развития Российской Федерации на период до 2030 года и на перспективу до 2036 года» реализуется региональная программа Новосибирской области «Снижение доли населения с денежными доходами ниже величины прожиточного минимума в Новосибирской области на период до 2030 года», утвержденная постановлением Правительства Новосибирской области от 24.03.2021 № 86-п (далее – региональная программа).</w:t>
      </w:r>
    </w:p>
    <w:p w:rsidR="00105293" w:rsidRPr="00DC138E" w:rsidRDefault="00105293" w:rsidP="00105293">
      <w:pPr>
        <w:widowControl w:val="0"/>
        <w:adjustRightInd w:val="0"/>
        <w:ind w:firstLine="709"/>
        <w:jc w:val="both"/>
        <w:textAlignment w:val="baseline"/>
      </w:pPr>
      <w:r w:rsidRPr="00DC138E">
        <w:t xml:space="preserve">Региональной программой предусмотрен ряд мероприятий, направленных на развитие системы социальной помощи и социального контракта, организацию социальной адаптации малоимущих граждан, создание новых рабочих мест, содействие занятости граждан, организацию профессионального обучения и дополнительного профессионального образования безработных граждан с учетом потребностей рынка труда, </w:t>
      </w:r>
      <w:proofErr w:type="spellStart"/>
      <w:r w:rsidRPr="00DC138E">
        <w:t>грантовую</w:t>
      </w:r>
      <w:proofErr w:type="spellEnd"/>
      <w:r w:rsidRPr="00DC138E">
        <w:t xml:space="preserve"> поддержку крестьянских (фермерских) хозяйств и сельскохозяйственных потребительских кооперативов, развитие семейных ферм.</w:t>
      </w:r>
    </w:p>
    <w:p w:rsidR="00105293" w:rsidRPr="00DC138E" w:rsidRDefault="00105293" w:rsidP="00105293">
      <w:pPr>
        <w:ind w:firstLine="709"/>
        <w:jc w:val="both"/>
      </w:pPr>
      <w:r w:rsidRPr="00DC138E">
        <w:t>В соответствии с методическими рекомендациями, утвержденными приказом Министерства труда и социальной защиты Российской Федерации от 03.03.2023 № 128 «Об утверждении методических рекомендаций по разработке региональных программ снижения доли населения с доходами ниже границы бедности и признании утратившими силу приказа Министерства труда и социальной защиты Российской Федерации от 11 июня 2020 г. № 326 и внесенных в него изменений» осуществляется корректировка региональной программы: разработан проект постановления Правительства Новосибирской области «О внесении изменений в постановление Правительства Новосибирской области от 24.03.2021 № 86-п» (далее – проект постановления), который в настоящее время проходит процедуру согласования с заинтересованными ведомствами Новосибирской области.</w:t>
      </w:r>
    </w:p>
    <w:p w:rsidR="00105293" w:rsidRPr="00DC138E" w:rsidRDefault="00105293" w:rsidP="00105293">
      <w:pPr>
        <w:widowControl w:val="0"/>
        <w:adjustRightInd w:val="0"/>
        <w:ind w:firstLine="709"/>
        <w:jc w:val="both"/>
        <w:textAlignment w:val="baseline"/>
      </w:pPr>
      <w:r w:rsidRPr="00DC138E">
        <w:t xml:space="preserve">Министерством труда и социального развития Новосибирской области проводится ежеквартальный мониторинг региональной программы. Результаты </w:t>
      </w:r>
      <w:r w:rsidRPr="00DC138E">
        <w:lastRenderedPageBreak/>
        <w:t>мониторинга региональной программы за январь-июнь 2024 года размещены в программно-информационном комплексе Министерства труда и социальной защиты Российской Федерации «Мониторинг плана мероприятий «дорожной карты» «Повышение эффективности и качества услуг в сфере социального обслуживания населения».</w:t>
      </w:r>
    </w:p>
    <w:p w:rsidR="00105293" w:rsidRPr="00DC138E" w:rsidRDefault="00105293" w:rsidP="00105293">
      <w:pPr>
        <w:widowControl w:val="0"/>
        <w:adjustRightInd w:val="0"/>
        <w:ind w:firstLine="709"/>
        <w:jc w:val="both"/>
        <w:textAlignment w:val="baseline"/>
      </w:pPr>
      <w:r w:rsidRPr="00DC138E">
        <w:rPr>
          <w:shd w:val="clear" w:color="auto" w:fill="FFFFFF"/>
        </w:rPr>
        <w:t>Запланированные региональной программой мероприятия выполняются. Объем финансового обеспечения мероприятий региональной программы за январь-июнь 2024 года составил 5,9 млрд рублей. Из областного бюджета израсходовано 5,3 млрд рублей, федерального бюджета – 0,6 млрд рублей.</w:t>
      </w:r>
      <w:r w:rsidRPr="00DC138E">
        <w:t xml:space="preserve"> На реализацию мероприятий региональной программы в 2024 году планируется направить более 16,6 млрд рублей.</w:t>
      </w:r>
    </w:p>
    <w:p w:rsidR="00105293" w:rsidRPr="00DC138E" w:rsidRDefault="00105293" w:rsidP="00105293">
      <w:pPr>
        <w:ind w:firstLine="709"/>
        <w:jc w:val="both"/>
      </w:pPr>
      <w:r w:rsidRPr="00DC138E">
        <w:t>Повышению доходов населения способствует ежегодная индексация заработной платы работников государственных и муниципальных учреждений Новосибирской области с учетом роста потребительских цен на товары и услуги, осуществление мер по достижению целевых показателей оплаты труда отдельных категорий работников бюджетной сферы, определенных указами Президента Российской Федерации.</w:t>
      </w:r>
    </w:p>
    <w:p w:rsidR="00105293" w:rsidRPr="00DC138E" w:rsidRDefault="00105293" w:rsidP="00105293">
      <w:pPr>
        <w:ind w:firstLine="709"/>
        <w:jc w:val="both"/>
      </w:pPr>
      <w:r w:rsidRPr="00DC138E">
        <w:t>Заработную плату работников бюджетной сферы, не относящихся к категориям, определенным указами Президента Российской Федерации, в 2024 году планируется повысить с 1 октября 2024 года в размерах, предусмотренных Законом Новосибирской области от 21.12.2023 № 413-ОЗ «Об областном бюджете Новосибирской области на 2024 год и плановый период 2025 и 2026 годов».</w:t>
      </w:r>
    </w:p>
    <w:p w:rsidR="00105293" w:rsidRPr="00DC138E" w:rsidRDefault="00105293" w:rsidP="00105293">
      <w:pPr>
        <w:ind w:firstLine="709"/>
        <w:jc w:val="both"/>
      </w:pPr>
      <w:r w:rsidRPr="00DC138E">
        <w:t xml:space="preserve">Повышение уровня реального содержания заработной платы отдельных категорий работников, определенных указами Президента Российской Федерации, осуществляется путем доведения их средней заработной платы до средней заработной платы в регионе. Средства областного бюджета Новосибирской области для обеспечения достижения по итогам 2024 года установленных указами Президента Российской Федерации целевых показателей оплаты труда отдельных категорий работников бюджетного сектора экономики предусмотрены в полном объеме. </w:t>
      </w:r>
    </w:p>
    <w:p w:rsidR="00105293" w:rsidRPr="00DC138E" w:rsidRDefault="00105293" w:rsidP="00105293">
      <w:pPr>
        <w:ind w:firstLine="709"/>
        <w:jc w:val="both"/>
      </w:pPr>
      <w:r>
        <w:t>Р</w:t>
      </w:r>
      <w:r w:rsidRPr="00DC138E">
        <w:t>еа</w:t>
      </w:r>
      <w:r>
        <w:t>лизуются</w:t>
      </w:r>
      <w:r w:rsidRPr="00DC138E">
        <w:t xml:space="preserve"> мероприяти</w:t>
      </w:r>
      <w:r>
        <w:t>я</w:t>
      </w:r>
      <w:r w:rsidRPr="00DC138E">
        <w:t xml:space="preserve"> по легализации трудовых отношений в рамках Плана мероприятий по снижению уровня неформальной занятости и легализации трудовых отношений на 2022-2024 годы. На региональном и муниципальном уровнях обеспечивается деятельность межведомственной комиссии при Правительстве Новосибирской области по вопросам оплаты труда и снижения нелегальной трудовой занятости работников организаций, находящихся на территории Новосибирской области, и территориальных межведомственных комиссий (рабочих групп) соответственно. Ситуация с выплатой задолженности по заработной плате отслеживается в оперативном режиме во взаимодействии с надзорными органами, руководителями и конкурсными управляющими организаций-должников. Работает «Горячая линия» министерства труда и социального развития Новосибирской области с населением, осуществляется информационно-разъяснительная работа.</w:t>
      </w:r>
    </w:p>
    <w:p w:rsidR="00105293" w:rsidRPr="00DC138E" w:rsidRDefault="00105293" w:rsidP="00105293">
      <w:pPr>
        <w:ind w:firstLine="709"/>
        <w:jc w:val="both"/>
      </w:pPr>
      <w:r w:rsidRPr="00DC138E">
        <w:lastRenderedPageBreak/>
        <w:t>С начала 2024 года организациями-должниками выплачено более 230 млн рублей задержанной заработной платы, легализованы трудовые отношения с 5363 работниками.</w:t>
      </w:r>
    </w:p>
    <w:p w:rsidR="00105293" w:rsidRPr="00DC138E" w:rsidRDefault="00105293" w:rsidP="00105293">
      <w:pPr>
        <w:ind w:firstLine="709"/>
        <w:jc w:val="both"/>
      </w:pPr>
      <w:r w:rsidRPr="00DC138E">
        <w:t>В январе-апреле 2024 года среднемесячная номинальная начисленная заработная плата работников организаций Новосибирской области составила 69078,4 рубля и выросла по сравнению с соответствующим периодом 2023 года на 19,9</w:t>
      </w:r>
      <w:r w:rsidRPr="00DC138E">
        <w:rPr>
          <w:color w:val="000000" w:themeColor="text1"/>
        </w:rPr>
        <w:t>%.</w:t>
      </w:r>
      <w:r w:rsidRPr="00DC138E">
        <w:t xml:space="preserve"> Индекс реальной начисленной заработной платы работников организаций Новосибирской области в январе-апреле 2024 года к январю-апрелю 2023 года составил 110,8%.</w:t>
      </w:r>
    </w:p>
    <w:p w:rsidR="00105293" w:rsidRPr="00DC138E" w:rsidRDefault="00105293" w:rsidP="00105293">
      <w:pPr>
        <w:ind w:firstLine="709"/>
        <w:jc w:val="both"/>
      </w:pPr>
      <w:r w:rsidRPr="00DC138E">
        <w:t>Рост среднемесячной номинальной начисленной заработной платы в январе-апреле 2024 года зафиксирован во всех видах экономической деятельности, наибольший – в организациях, занимающихся оптовой и розничной торговлей; ремонтом автотранспортных средств и мотоциклов – на 27,4%. В отраслях социальной сферы среднемесячная номинальная начисленная заработная плата выросла: в сфере культуры, спорта, организации досуга и развлечений – на 13,7%; образования – на 17,2%; здравоохранения и социальных услуг – на 17%.</w:t>
      </w:r>
    </w:p>
    <w:p w:rsidR="00105293" w:rsidRPr="00DC138E" w:rsidRDefault="00105293" w:rsidP="00105293">
      <w:pPr>
        <w:ind w:firstLine="709"/>
        <w:jc w:val="both"/>
      </w:pPr>
      <w:r w:rsidRPr="00DC138E">
        <w:t>Среднедушевые денежные доходы населения Новосибирской области за январь-март 2024 года превысили на 4,8% значение в соответствующем периоде 2023 года и составили 44023 рубля.</w:t>
      </w:r>
    </w:p>
    <w:p w:rsidR="001E0604" w:rsidRPr="009745C2" w:rsidRDefault="00105293" w:rsidP="00901B43">
      <w:pPr>
        <w:ind w:firstLine="709"/>
        <w:jc w:val="both"/>
      </w:pPr>
      <w:r w:rsidRPr="00DC138E">
        <w:t>Работа в вышеперечисленных направлениях будет продолжена.</w:t>
      </w:r>
    </w:p>
    <w:sectPr w:rsidR="001E0604" w:rsidRPr="009745C2" w:rsidSect="003F3191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F9" w:rsidRDefault="005E3AF9" w:rsidP="00454883">
      <w:r>
        <w:separator/>
      </w:r>
    </w:p>
  </w:endnote>
  <w:endnote w:type="continuationSeparator" w:id="0">
    <w:p w:rsidR="005E3AF9" w:rsidRDefault="005E3AF9" w:rsidP="0045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F9" w:rsidRDefault="005E3AF9" w:rsidP="00454883">
      <w:r>
        <w:separator/>
      </w:r>
    </w:p>
  </w:footnote>
  <w:footnote w:type="continuationSeparator" w:id="0">
    <w:p w:rsidR="005E3AF9" w:rsidRDefault="005E3AF9" w:rsidP="0045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284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883" w:rsidRPr="0080668C" w:rsidRDefault="00454883" w:rsidP="0080668C">
        <w:pPr>
          <w:pStyle w:val="a3"/>
          <w:jc w:val="center"/>
          <w:rPr>
            <w:sz w:val="20"/>
            <w:szCs w:val="20"/>
          </w:rPr>
        </w:pPr>
        <w:r w:rsidRPr="00454883">
          <w:rPr>
            <w:sz w:val="20"/>
            <w:szCs w:val="20"/>
          </w:rPr>
          <w:fldChar w:fldCharType="begin"/>
        </w:r>
        <w:r w:rsidRPr="00454883">
          <w:rPr>
            <w:sz w:val="20"/>
            <w:szCs w:val="20"/>
          </w:rPr>
          <w:instrText>PAGE   \* MERGEFORMAT</w:instrText>
        </w:r>
        <w:r w:rsidRPr="00454883">
          <w:rPr>
            <w:sz w:val="20"/>
            <w:szCs w:val="20"/>
          </w:rPr>
          <w:fldChar w:fldCharType="separate"/>
        </w:r>
        <w:r w:rsidR="00DB1B65">
          <w:rPr>
            <w:noProof/>
            <w:sz w:val="20"/>
            <w:szCs w:val="20"/>
          </w:rPr>
          <w:t>3</w:t>
        </w:r>
        <w:r w:rsidRPr="004548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D"/>
    <w:rsid w:val="000012D1"/>
    <w:rsid w:val="0001284B"/>
    <w:rsid w:val="00025223"/>
    <w:rsid w:val="0006048A"/>
    <w:rsid w:val="00061608"/>
    <w:rsid w:val="0006172F"/>
    <w:rsid w:val="00062A2A"/>
    <w:rsid w:val="0007794E"/>
    <w:rsid w:val="00085E87"/>
    <w:rsid w:val="0009788F"/>
    <w:rsid w:val="000A0E98"/>
    <w:rsid w:val="000B382A"/>
    <w:rsid w:val="000D1ECC"/>
    <w:rsid w:val="000D50B0"/>
    <w:rsid w:val="000E6E25"/>
    <w:rsid w:val="000F2E93"/>
    <w:rsid w:val="000F3A2A"/>
    <w:rsid w:val="00105293"/>
    <w:rsid w:val="00111509"/>
    <w:rsid w:val="00122A43"/>
    <w:rsid w:val="00140A1C"/>
    <w:rsid w:val="00142F10"/>
    <w:rsid w:val="00147349"/>
    <w:rsid w:val="00147639"/>
    <w:rsid w:val="00165958"/>
    <w:rsid w:val="00184EE1"/>
    <w:rsid w:val="00187E1C"/>
    <w:rsid w:val="001927D3"/>
    <w:rsid w:val="00192D49"/>
    <w:rsid w:val="0019404A"/>
    <w:rsid w:val="00194C8A"/>
    <w:rsid w:val="001976CD"/>
    <w:rsid w:val="001B32AA"/>
    <w:rsid w:val="001B4E6D"/>
    <w:rsid w:val="001B4FC7"/>
    <w:rsid w:val="001D5D91"/>
    <w:rsid w:val="001E0604"/>
    <w:rsid w:val="001E513F"/>
    <w:rsid w:val="001E6B98"/>
    <w:rsid w:val="00205D80"/>
    <w:rsid w:val="00206E4F"/>
    <w:rsid w:val="00221F61"/>
    <w:rsid w:val="002364BC"/>
    <w:rsid w:val="00243549"/>
    <w:rsid w:val="00251400"/>
    <w:rsid w:val="00256837"/>
    <w:rsid w:val="00263C69"/>
    <w:rsid w:val="0026458D"/>
    <w:rsid w:val="00281CA6"/>
    <w:rsid w:val="00285552"/>
    <w:rsid w:val="002A5E12"/>
    <w:rsid w:val="002B1A32"/>
    <w:rsid w:val="002B532D"/>
    <w:rsid w:val="002C2211"/>
    <w:rsid w:val="002C2981"/>
    <w:rsid w:val="002E0231"/>
    <w:rsid w:val="002E232F"/>
    <w:rsid w:val="002F1DE1"/>
    <w:rsid w:val="002F364D"/>
    <w:rsid w:val="00335801"/>
    <w:rsid w:val="00342C6A"/>
    <w:rsid w:val="00347FD9"/>
    <w:rsid w:val="003525D1"/>
    <w:rsid w:val="0036107F"/>
    <w:rsid w:val="00381C68"/>
    <w:rsid w:val="00392714"/>
    <w:rsid w:val="003B11A9"/>
    <w:rsid w:val="003E4982"/>
    <w:rsid w:val="003E673A"/>
    <w:rsid w:val="003F06FD"/>
    <w:rsid w:val="003F3191"/>
    <w:rsid w:val="003F3718"/>
    <w:rsid w:val="003F6663"/>
    <w:rsid w:val="00400F72"/>
    <w:rsid w:val="0040309B"/>
    <w:rsid w:val="00403A58"/>
    <w:rsid w:val="00426F68"/>
    <w:rsid w:val="00434C41"/>
    <w:rsid w:val="004358D4"/>
    <w:rsid w:val="004510DA"/>
    <w:rsid w:val="00453310"/>
    <w:rsid w:val="00454883"/>
    <w:rsid w:val="0046211A"/>
    <w:rsid w:val="004A33DF"/>
    <w:rsid w:val="004A3883"/>
    <w:rsid w:val="004B14AA"/>
    <w:rsid w:val="004B5D61"/>
    <w:rsid w:val="004B73D1"/>
    <w:rsid w:val="004C0078"/>
    <w:rsid w:val="004D2452"/>
    <w:rsid w:val="004D790C"/>
    <w:rsid w:val="004E1C4B"/>
    <w:rsid w:val="004F2DAD"/>
    <w:rsid w:val="004F7CB8"/>
    <w:rsid w:val="005007F9"/>
    <w:rsid w:val="005100A1"/>
    <w:rsid w:val="0051324C"/>
    <w:rsid w:val="00516833"/>
    <w:rsid w:val="0054283E"/>
    <w:rsid w:val="00553DF3"/>
    <w:rsid w:val="00561071"/>
    <w:rsid w:val="00566064"/>
    <w:rsid w:val="00567E7E"/>
    <w:rsid w:val="00575124"/>
    <w:rsid w:val="00581308"/>
    <w:rsid w:val="0058170F"/>
    <w:rsid w:val="00586BB0"/>
    <w:rsid w:val="005A3F2B"/>
    <w:rsid w:val="005A4A95"/>
    <w:rsid w:val="005A7445"/>
    <w:rsid w:val="005C1330"/>
    <w:rsid w:val="005E3AF9"/>
    <w:rsid w:val="0060708D"/>
    <w:rsid w:val="00607E5A"/>
    <w:rsid w:val="00615C5B"/>
    <w:rsid w:val="006174CF"/>
    <w:rsid w:val="00625530"/>
    <w:rsid w:val="00631D93"/>
    <w:rsid w:val="00655A9C"/>
    <w:rsid w:val="0066160B"/>
    <w:rsid w:val="006638FE"/>
    <w:rsid w:val="00672089"/>
    <w:rsid w:val="00677E17"/>
    <w:rsid w:val="00680AB4"/>
    <w:rsid w:val="0068456F"/>
    <w:rsid w:val="00684B7A"/>
    <w:rsid w:val="006915A0"/>
    <w:rsid w:val="006964D2"/>
    <w:rsid w:val="006964FC"/>
    <w:rsid w:val="006D1DB2"/>
    <w:rsid w:val="006E2894"/>
    <w:rsid w:val="006E6AFF"/>
    <w:rsid w:val="006F2B96"/>
    <w:rsid w:val="006F4AF5"/>
    <w:rsid w:val="006F4D09"/>
    <w:rsid w:val="00704509"/>
    <w:rsid w:val="007136C3"/>
    <w:rsid w:val="007152F1"/>
    <w:rsid w:val="007158AA"/>
    <w:rsid w:val="0072711C"/>
    <w:rsid w:val="00745298"/>
    <w:rsid w:val="00753F68"/>
    <w:rsid w:val="00757974"/>
    <w:rsid w:val="00773787"/>
    <w:rsid w:val="00786B50"/>
    <w:rsid w:val="00787D7C"/>
    <w:rsid w:val="00792D4D"/>
    <w:rsid w:val="007A7431"/>
    <w:rsid w:val="007C4C0A"/>
    <w:rsid w:val="007C4DF3"/>
    <w:rsid w:val="007D287E"/>
    <w:rsid w:val="007D4310"/>
    <w:rsid w:val="007F257E"/>
    <w:rsid w:val="0080423C"/>
    <w:rsid w:val="0080668C"/>
    <w:rsid w:val="00815384"/>
    <w:rsid w:val="00846643"/>
    <w:rsid w:val="00850F36"/>
    <w:rsid w:val="00850F5C"/>
    <w:rsid w:val="008560CA"/>
    <w:rsid w:val="0086418C"/>
    <w:rsid w:val="0086500D"/>
    <w:rsid w:val="00877DAC"/>
    <w:rsid w:val="00883B11"/>
    <w:rsid w:val="00883E64"/>
    <w:rsid w:val="008938AC"/>
    <w:rsid w:val="00893E56"/>
    <w:rsid w:val="0089495F"/>
    <w:rsid w:val="008953E8"/>
    <w:rsid w:val="00895AD2"/>
    <w:rsid w:val="0089680D"/>
    <w:rsid w:val="008B5B1E"/>
    <w:rsid w:val="008B7DF6"/>
    <w:rsid w:val="008C66B8"/>
    <w:rsid w:val="008E0468"/>
    <w:rsid w:val="008E4BF3"/>
    <w:rsid w:val="008F270A"/>
    <w:rsid w:val="00901B43"/>
    <w:rsid w:val="0091071A"/>
    <w:rsid w:val="009224A0"/>
    <w:rsid w:val="00931185"/>
    <w:rsid w:val="00935107"/>
    <w:rsid w:val="00937D4B"/>
    <w:rsid w:val="00942989"/>
    <w:rsid w:val="00966C12"/>
    <w:rsid w:val="009745C2"/>
    <w:rsid w:val="00975300"/>
    <w:rsid w:val="009944FA"/>
    <w:rsid w:val="00995677"/>
    <w:rsid w:val="009978B2"/>
    <w:rsid w:val="00997E67"/>
    <w:rsid w:val="009A29E2"/>
    <w:rsid w:val="009A4E89"/>
    <w:rsid w:val="009B6871"/>
    <w:rsid w:val="009C5F73"/>
    <w:rsid w:val="009D28FC"/>
    <w:rsid w:val="009E5896"/>
    <w:rsid w:val="009F3FEF"/>
    <w:rsid w:val="00A0499A"/>
    <w:rsid w:val="00A12456"/>
    <w:rsid w:val="00A12660"/>
    <w:rsid w:val="00A26F27"/>
    <w:rsid w:val="00A315FA"/>
    <w:rsid w:val="00A3310C"/>
    <w:rsid w:val="00A36B9F"/>
    <w:rsid w:val="00A44FFE"/>
    <w:rsid w:val="00A46EF4"/>
    <w:rsid w:val="00A6021B"/>
    <w:rsid w:val="00A6170D"/>
    <w:rsid w:val="00A61D7A"/>
    <w:rsid w:val="00A716B5"/>
    <w:rsid w:val="00A87453"/>
    <w:rsid w:val="00A903B7"/>
    <w:rsid w:val="00AA4E03"/>
    <w:rsid w:val="00AA7800"/>
    <w:rsid w:val="00AC063F"/>
    <w:rsid w:val="00AC7395"/>
    <w:rsid w:val="00AD0B65"/>
    <w:rsid w:val="00AE0B78"/>
    <w:rsid w:val="00AF7612"/>
    <w:rsid w:val="00B02CAC"/>
    <w:rsid w:val="00B064FD"/>
    <w:rsid w:val="00B168C6"/>
    <w:rsid w:val="00B3309D"/>
    <w:rsid w:val="00B3340B"/>
    <w:rsid w:val="00B6223F"/>
    <w:rsid w:val="00B72C29"/>
    <w:rsid w:val="00B920BD"/>
    <w:rsid w:val="00B93E8C"/>
    <w:rsid w:val="00BA28FD"/>
    <w:rsid w:val="00BC023F"/>
    <w:rsid w:val="00BE5ECE"/>
    <w:rsid w:val="00BF0C8C"/>
    <w:rsid w:val="00BF350C"/>
    <w:rsid w:val="00BF4EE9"/>
    <w:rsid w:val="00BF5513"/>
    <w:rsid w:val="00C001B3"/>
    <w:rsid w:val="00C1084A"/>
    <w:rsid w:val="00C16A88"/>
    <w:rsid w:val="00C2000A"/>
    <w:rsid w:val="00C23E19"/>
    <w:rsid w:val="00C25055"/>
    <w:rsid w:val="00C275E8"/>
    <w:rsid w:val="00C42F79"/>
    <w:rsid w:val="00C43E8F"/>
    <w:rsid w:val="00C464F0"/>
    <w:rsid w:val="00C5205D"/>
    <w:rsid w:val="00C631B9"/>
    <w:rsid w:val="00C652D8"/>
    <w:rsid w:val="00C7122F"/>
    <w:rsid w:val="00C72AAE"/>
    <w:rsid w:val="00C865B9"/>
    <w:rsid w:val="00C86930"/>
    <w:rsid w:val="00C95E00"/>
    <w:rsid w:val="00CA785B"/>
    <w:rsid w:val="00CA7DB3"/>
    <w:rsid w:val="00CB20B8"/>
    <w:rsid w:val="00CB37A0"/>
    <w:rsid w:val="00CB3D16"/>
    <w:rsid w:val="00CD2DBD"/>
    <w:rsid w:val="00CE252E"/>
    <w:rsid w:val="00CE49C9"/>
    <w:rsid w:val="00CF52D5"/>
    <w:rsid w:val="00D017D6"/>
    <w:rsid w:val="00D03A80"/>
    <w:rsid w:val="00D06845"/>
    <w:rsid w:val="00D12117"/>
    <w:rsid w:val="00D12A98"/>
    <w:rsid w:val="00D41818"/>
    <w:rsid w:val="00D44D5E"/>
    <w:rsid w:val="00D45217"/>
    <w:rsid w:val="00D52BE2"/>
    <w:rsid w:val="00D55865"/>
    <w:rsid w:val="00D56BD3"/>
    <w:rsid w:val="00D57B1C"/>
    <w:rsid w:val="00D64CAC"/>
    <w:rsid w:val="00D67631"/>
    <w:rsid w:val="00D73685"/>
    <w:rsid w:val="00D73BBD"/>
    <w:rsid w:val="00D768FE"/>
    <w:rsid w:val="00DA6A99"/>
    <w:rsid w:val="00DB1B65"/>
    <w:rsid w:val="00DC0DF9"/>
    <w:rsid w:val="00DC79D9"/>
    <w:rsid w:val="00DD5918"/>
    <w:rsid w:val="00E2009D"/>
    <w:rsid w:val="00E20647"/>
    <w:rsid w:val="00E27CE0"/>
    <w:rsid w:val="00E40BE1"/>
    <w:rsid w:val="00E47A1A"/>
    <w:rsid w:val="00E6737B"/>
    <w:rsid w:val="00E83D6A"/>
    <w:rsid w:val="00E938DF"/>
    <w:rsid w:val="00EA3B22"/>
    <w:rsid w:val="00EC41E6"/>
    <w:rsid w:val="00ED1F4B"/>
    <w:rsid w:val="00ED385F"/>
    <w:rsid w:val="00EE0E20"/>
    <w:rsid w:val="00EF1174"/>
    <w:rsid w:val="00EF2720"/>
    <w:rsid w:val="00F00F6C"/>
    <w:rsid w:val="00F05A68"/>
    <w:rsid w:val="00F101EF"/>
    <w:rsid w:val="00F118EA"/>
    <w:rsid w:val="00F21F42"/>
    <w:rsid w:val="00F24B50"/>
    <w:rsid w:val="00F30E43"/>
    <w:rsid w:val="00F34048"/>
    <w:rsid w:val="00F53178"/>
    <w:rsid w:val="00F537C6"/>
    <w:rsid w:val="00F61815"/>
    <w:rsid w:val="00F737B1"/>
    <w:rsid w:val="00F96965"/>
    <w:rsid w:val="00FA3893"/>
    <w:rsid w:val="00FA7233"/>
    <w:rsid w:val="00FC1468"/>
    <w:rsid w:val="00FD1176"/>
    <w:rsid w:val="00FE779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56D5D-1B6D-4D83-BB43-3E0CDDF0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8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54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8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5C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C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Вероника Алексеевна</dc:creator>
  <cp:lastModifiedBy>Измайлова Вероника Алексеевна</cp:lastModifiedBy>
  <cp:revision>37</cp:revision>
  <cp:lastPrinted>2023-04-25T08:06:00Z</cp:lastPrinted>
  <dcterms:created xsi:type="dcterms:W3CDTF">2023-01-25T03:41:00Z</dcterms:created>
  <dcterms:modified xsi:type="dcterms:W3CDTF">2024-07-31T03:56:00Z</dcterms:modified>
</cp:coreProperties>
</file>