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при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развития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Общественный совет)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21.</w:t>
      </w:r>
      <w:r>
        <w:rPr>
          <w:rFonts w:ascii="Times New Roman" w:hAnsi="Times New Roman" w:cs="Times New Roman"/>
          <w:b/>
          <w:sz w:val="28"/>
          <w:szCs w:val="28"/>
        </w:rPr>
        <w:t xml:space="preserve">05.2025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9747"/>
        <w:gridCol w:w="284"/>
      </w:tblGrid>
      <w:tr>
        <w:tblPrEx/>
        <w:trPr/>
        <w:tc>
          <w:tcPr>
            <w:tcW w:w="9747" w:type="dxa"/>
            <w:textDirection w:val="lrTb"/>
            <w:noWrap w:val="false"/>
          </w:tcPr>
          <w:p>
            <w:pPr>
              <w:pStyle w:val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Присутствовали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Федорова И.А.;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Общественного совета </w:t>
            </w:r>
            <w:r>
              <w:rPr>
                <w:b w:val="0"/>
                <w:sz w:val="28"/>
                <w:szCs w:val="28"/>
              </w:rPr>
              <w:t xml:space="preserve">Лесневский Ю.Ю.;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</w:t>
            </w:r>
            <w:r>
              <w:rPr>
                <w:sz w:val="28"/>
                <w:szCs w:val="28"/>
              </w:rPr>
              <w:t xml:space="preserve"> Общественного совета </w:t>
            </w:r>
            <w:r>
              <w:rPr>
                <w:b w:val="0"/>
                <w:sz w:val="28"/>
                <w:szCs w:val="28"/>
              </w:rPr>
              <w:t xml:space="preserve">Кожухов Ю.А.;</w:t>
            </w:r>
            <w:r>
              <w:rPr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Общественного совета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Камалдинов Д.О., </w:t>
            </w:r>
            <w:r>
              <w:rPr>
                <w:b w:val="0"/>
                <w:sz w:val="28"/>
                <w:szCs w:val="28"/>
              </w:rPr>
              <w:t xml:space="preserve">Каребо</w:t>
            </w:r>
            <w:r>
              <w:rPr>
                <w:b w:val="0"/>
                <w:sz w:val="28"/>
                <w:szCs w:val="28"/>
              </w:rPr>
              <w:t xml:space="preserve"> Д.Н., </w:t>
            </w:r>
            <w:r>
              <w:rPr>
                <w:b w:val="0"/>
                <w:sz w:val="28"/>
                <w:szCs w:val="28"/>
              </w:rPr>
              <w:t xml:space="preserve">Малицкая Е.П., 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  <w:t xml:space="preserve">Раратюк И.В., </w:t>
            </w:r>
            <w:r>
              <w:rPr>
                <w:b w:val="0"/>
                <w:sz w:val="28"/>
                <w:szCs w:val="28"/>
              </w:rPr>
              <w:t xml:space="preserve">Романов П.П.</w:t>
            </w:r>
            <w:r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Чернышева И.Г.;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648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65"/>
        </w:trPr>
        <w:tc>
          <w:tcPr>
            <w:gridSpan w:val="2"/>
            <w:tcW w:w="10031" w:type="dxa"/>
            <w:textDirection w:val="lrTb"/>
            <w:noWrap w:val="false"/>
          </w:tcPr>
          <w:p>
            <w:pPr>
              <w:pStyle w:val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Отсутствовали</w:t>
            </w:r>
            <w:r>
              <w:rPr>
                <w:sz w:val="28"/>
                <w:szCs w:val="28"/>
              </w:rPr>
              <w:t xml:space="preserve"> члены Общественного совета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  <w:t xml:space="preserve">Жижков В.В., </w:t>
            </w:r>
            <w:r>
              <w:rPr>
                <w:b w:val="0"/>
                <w:sz w:val="28"/>
                <w:szCs w:val="28"/>
              </w:rPr>
              <w:t xml:space="preserve">Рыбальчук Н.В., </w:t>
            </w:r>
            <w:r>
              <w:rPr>
                <w:b w:val="0"/>
                <w:sz w:val="28"/>
                <w:szCs w:val="28"/>
              </w:rPr>
              <w:t xml:space="preserve">Ярцева М.М.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pStyle w:val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риглашенные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Москалева Е.М., </w:t>
            </w:r>
            <w:r>
              <w:rPr>
                <w:b w:val="0"/>
                <w:sz w:val="28"/>
                <w:szCs w:val="28"/>
              </w:rPr>
              <w:t xml:space="preserve">первый заместитель министра труда и социального развития Новосибирской области;</w:t>
            </w:r>
            <w:r>
              <w:rPr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Савченко Т.А., начальник </w:t>
            </w:r>
            <w:r>
              <w:rPr>
                <w:b w:val="0"/>
                <w:sz w:val="28"/>
                <w:szCs w:val="28"/>
              </w:rPr>
              <w:t xml:space="preserve">управления комплексного анализ</w:t>
            </w:r>
            <w:r>
              <w:rPr>
                <w:b w:val="0"/>
                <w:sz w:val="28"/>
                <w:szCs w:val="28"/>
              </w:rPr>
              <w:t xml:space="preserve">а и социального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труда и социального развития Новосибирской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области (далее – министерство);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64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Середа Е.В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консу</w:t>
            </w:r>
            <w:r>
              <w:rPr>
                <w:b w:val="0"/>
                <w:sz w:val="28"/>
                <w:szCs w:val="28"/>
              </w:rPr>
              <w:t xml:space="preserve">льтант отдела стратегического планирования и проектного управления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управления комплексного анализ</w:t>
            </w:r>
            <w:r>
              <w:rPr>
                <w:b w:val="0"/>
                <w:sz w:val="28"/>
                <w:szCs w:val="28"/>
              </w:rPr>
              <w:t xml:space="preserve">а и социального проектирования</w:t>
            </w:r>
            <w:r>
              <w:rPr>
                <w:b w:val="0"/>
                <w:sz w:val="28"/>
                <w:szCs w:val="28"/>
              </w:rPr>
              <w:t xml:space="preserve"> министерства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заседания.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 1: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мероприятий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защите традиционных российских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ценностей, культуры и исторической памяти в сфере деятельности министерства.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 2: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поддержки участников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семей, проживающих 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jc w:val="both"/>
              <w:spacing w:after="0" w:line="240" w:lineRule="auto"/>
              <w:tabs>
                <w:tab w:val="left" w:pos="301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3: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5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Москалева Е.М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– поприветствовала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присутствующих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вместе с Малицкой Е.П.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режиме ВКС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было принято участие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мероприятии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Федорова И.А.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–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открыла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заседание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отметила наличие кворума,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сообщила о 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Общественным советом при Министерстве труда и социальной защиты Российской Федерации опыт Новосибирской области по организации деятельности Общественного совета и взаимодействия с другими общественными советами был отмечен и взят на заметку;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Малицкая Е.П.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зала том, что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обсуждения оценки эффективности деятельности региональных общественных советов с последующим распространением этого опыта по России было предложено четыре направления: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независимая оценка качества условий оказания услуг, информационная открытость общественных советов, практики социального добровольчества, кадровое и межведомственное взаимодействие.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Далее перешли к рассмотрению вопросов повестки заседания.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ВОПРОС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реализации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о защите традиционных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ценностей, культуры и исторической памяти в сфере деятельности министерства.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Савченко Т.А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представила раздаточные материалы с информацией за 2024 год и начало 2025 года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рассказала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выполнении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министерством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плана мероприятий по реализации в 2024-2026 годах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 государственной политики по сохранению и укреплению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традиционных российских духовно-нравственных ценностей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реализации основных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его направлений, об укреплении института семьи, материнства и отцовства, сохранении финансирования по данному направлению работы в полном объеме.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она сообщила, что в соответствии с пунктом 20 плана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01.07.2024 № 1734-р, в положение об Общественном совете было внесено изменение и добавлена функция по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ыработке мер по защите традиционных российских духовно-нравственных ценностей, культуры и исторической памяти в сфере деятельности министерства,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этому ждем предложения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Общественного совета для внесения дополнений в данное направление работы;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Малицкая Е.П.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задала уточняющий вопрос об адресной поддержке семей участников специальной военной операции (далее - СВО);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Романов П.П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высказался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рассмотрении вопросов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поддержки и стимулирования демографии в молодых и студенческих семьях;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Чернышева И.Г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высказалась о старшем поколении, мотивировании на активное долголетие, здоровый образ жизни, занятиям физической культурой и спортом, о межведомственном взаимодействии с министерством здравоохранения Новосибирской области и министерством физической культуры и спорта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Москалева Е.М.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Савч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енко Т.А.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дали пояснен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ия по заданным вопросам;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Федорова И.А.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предложила рекомендовать министерству продолжить информационное обеспечение, направленное на формирование положительного образа семьи,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создания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социальной рекламы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создание положительного образа семьи, популяризацию семейных ценностей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(небольшие ролики, плакаты и др.);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РЕШИЛИ ПО ВОПРОСУ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реализации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о защите традиционных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ценностей, культуры и исторической памяти в сфере деятельности министерства.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Рекомендовать министерству продолжить создание социальной рекламы, направленной на популяризацию положительного образа семьи.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ВОПРОС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</w:t>
      </w:r>
      <w:r>
        <w:rPr>
          <w:rFonts w:ascii="Times New Roman" w:hAnsi="Times New Roman" w:cs="Times New Roman"/>
          <w:sz w:val="28"/>
          <w:szCs w:val="28"/>
        </w:rPr>
        <w:t xml:space="preserve">ах поддержки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семей, проживающих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Москалева 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.М.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проинформировала о </w:t>
      </w:r>
      <w:r>
        <w:rPr>
          <w:rFonts w:ascii="Times New Roman" w:hAnsi="Times New Roman" w:cs="Times New Roman"/>
          <w:sz w:val="28"/>
          <w:szCs w:val="28"/>
        </w:rPr>
        <w:t xml:space="preserve">системе социальной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участников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членов их семей, проживающих на терр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новых мерах социальной поддержки, социального обслуживания, основных направлениях работы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участниками СВО и членами их семей, взаимодействии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филиалом Государственного фонда поддержки участников специальной военной операции «Защитники Отечества»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по Новосибирской области (далее - Фонд), о выделении в Новосибирской области единовременной материальной помощи на переоборудование помещений участников СВО (этот вопрос обсуждался нами на заседании Общественного совета, впоследствии Новосибирской областью одной из первых был принят нормативный правовой акт),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Губернаторском реабилитационном сертификате на комплексную реабилитацию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координации взаимодействия служб и органов власти области, обеспечение техническими средствах реабилитации, проактивном информировании, трудоустройстве, переподготовке и переобучению участников СВО;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Члены Общественного совета задали различные уточняющие вопросы: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Романов П.П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задал вопросы из практики консультирования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центром бесплатной юридической помощи «Военный юрист»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участников СВО и членов их семей, организации поиска без вести пропавших на СВО;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Камалдинов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 Д.О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ал вопрос об оказании психологической и психиатрической помощи участникам СВ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и членам их семей, взаимодействии с министерством здравоохранения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Федорова И.А.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задала вопрос есть 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нашем регионе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единая точка для обращения участников СВО, информирование о путях решения возникающих вопросов;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Лесневский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 Ю.Ю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задал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вопрос о механизме предоставления в нашем регионе технических средств реабилитации участкам СВО;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Москалева 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.М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Савченко Т.А.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дали ответы по практическим путям решения возникающих вопросов, реализации Гу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бернаторского реабилитационного сертификата, работе социальных координаторов Фонда, взаимодействии с Министерством обороны Российской</w:t>
        <w:tab/>
        <w:t xml:space="preserve"> Федерации, дополнительных мерах поддержки участникам СВО, нуждающимся в технических средствах реабилитации, а также о возможности принять участие в площадке международного форума технического развития «Технопром 2025», посвященной техническим средствам реабилитации;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РЕШИЛИ ПО ВОПРОСУ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Принять к сведению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мер</w:t>
      </w:r>
      <w:r>
        <w:rPr>
          <w:rFonts w:ascii="Times New Roman" w:hAnsi="Times New Roman" w:cs="Times New Roman"/>
          <w:sz w:val="28"/>
          <w:szCs w:val="28"/>
        </w:rPr>
        <w:t xml:space="preserve">ах поддержки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семей, проживающих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ВОПРОС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Разное.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приведения программы профилактики рисков причинения вреда (ущерба) охраняемым законом ценностям на 2025 год в соответствие с федеральным законодательством о контроле (надзоре) министерством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разработаны проекты приказов министерства «О внесении изменений в приказ министерства труда и социального развития Новосибирской области от 03.12.2024 № 2604», которыми вносятся изменения в программы: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реестре организаций отдыха детей и их оздоровления на 2025 год;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приемом на работу инвалидов в пределах установленной квоты на 2025 год.</w:t>
      </w:r>
      <w:r/>
      <w:r/>
    </w:p>
    <w:p>
      <w:pPr>
        <w:ind w:firstLine="709"/>
        <w:jc w:val="both"/>
        <w:spacing w:after="0" w:line="240" w:lineRule="auto"/>
        <w:tabs>
          <w:tab w:val="center" w:pos="4677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Обсуждение изменений выносилось на дистанционное рассмотрение, о чем членам Общественного совета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были направлены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электронной почте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письма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имя председателя Общественного совета от 15.04.2025 и 06.05.2025.</w:t>
      </w:r>
      <w:r/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Предложений и замечаний в установленные сроки от членов Общественного совета не поступило.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РЕШИЛИ ПО ВОПРОСУ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Рекомендовать министерству утвердить изменения в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рофилактики рисков причинения вреда (ущерба) охраняемым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реестре организаций отдыха детей и их оздоровления, и 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приемом на работу инвалидов в пределах установленной квоты на 2025 год.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18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8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8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8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И.А. Федорова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2"/>
    <w:link w:val="648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2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>
    <w:name w:val="List Paragraph"/>
    <w:basedOn w:val="641"/>
    <w:uiPriority w:val="34"/>
    <w:qFormat/>
    <w:pPr>
      <w:contextualSpacing/>
      <w:ind w:left="720"/>
    </w:pPr>
  </w:style>
  <w:style w:type="paragraph" w:styleId="646">
    <w:name w:val="Balloon Text"/>
    <w:basedOn w:val="641"/>
    <w:link w:val="6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7" w:customStyle="1">
    <w:name w:val="Текст выноски Знак"/>
    <w:basedOn w:val="642"/>
    <w:link w:val="646"/>
    <w:uiPriority w:val="99"/>
    <w:semiHidden/>
    <w:rPr>
      <w:rFonts w:ascii="Tahoma" w:hAnsi="Tahoma" w:cs="Tahoma"/>
      <w:sz w:val="16"/>
      <w:szCs w:val="16"/>
    </w:rPr>
  </w:style>
  <w:style w:type="paragraph" w:styleId="648">
    <w:name w:val="Title"/>
    <w:basedOn w:val="641"/>
    <w:link w:val="649"/>
    <w:uiPriority w:val="1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49" w:customStyle="1">
    <w:name w:val="Название Знак"/>
    <w:basedOn w:val="642"/>
    <w:link w:val="648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50" w:customStyle="1">
    <w:name w:val="apple-converted-space"/>
    <w:basedOn w:val="642"/>
  </w:style>
  <w:style w:type="table" w:styleId="651" w:customStyle="1">
    <w:name w:val="Сетка таблицы1"/>
    <w:basedOn w:val="643"/>
    <w:next w:val="652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52">
    <w:name w:val="Table Grid"/>
    <w:basedOn w:val="6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C21A-BBE5-4B0F-81F9-658A48FD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revision>11</cp:revision>
  <dcterms:created xsi:type="dcterms:W3CDTF">2024-02-07T08:43:00Z</dcterms:created>
  <dcterms:modified xsi:type="dcterms:W3CDTF">2025-06-10T08:58:28Z</dcterms:modified>
</cp:coreProperties>
</file>