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0"/>
      </w:pPr>
      <w:r>
        <w:rPr>
          <w:sz w:val="24"/>
        </w:rPr>
        <w:t xml:space="preserve">Приложение N 5</w:t>
      </w:r>
      <w:r/>
      <w:r/>
    </w:p>
    <w:p>
      <w:pPr>
        <w:pStyle w:val="1_633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1_633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1_633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4"/>
        <w:jc w:val="center"/>
      </w:pPr>
      <w:r/>
      <w:bookmarkStart w:id="0" w:name="undefined"/>
      <w:r/>
      <w:bookmarkEnd w:id="0"/>
      <w:r>
        <w:rPr>
          <w:sz w:val="24"/>
        </w:rPr>
        <w:t xml:space="preserve">ПОРЯДОК</w:t>
      </w:r>
      <w:r/>
      <w:r/>
    </w:p>
    <w:p>
      <w:pPr>
        <w:pStyle w:val="1_634"/>
        <w:jc w:val="center"/>
      </w:pPr>
      <w:r>
        <w:rPr>
          <w:sz w:val="24"/>
        </w:rPr>
        <w:t xml:space="preserve">ПРЕДОСТАВЛЕНИЯ И РАЗМЕР ФИНАНСОВОЙ ПОДДЕРЖКИ БЕЗРАБОТНЫМ</w:t>
      </w:r>
      <w:r/>
      <w:r/>
    </w:p>
    <w:p>
      <w:pPr>
        <w:pStyle w:val="1_634"/>
        <w:jc w:val="center"/>
      </w:pPr>
      <w:r>
        <w:rPr>
          <w:sz w:val="24"/>
        </w:rPr>
        <w:t xml:space="preserve">ГРАЖДАНАМ, ЖЕНЩИНАМ В ПЕРИОД ОТПУСКА ПО УХОДУ ЗА РЕБЕНКОМ</w:t>
      </w:r>
      <w:r/>
      <w:r/>
    </w:p>
    <w:p>
      <w:pPr>
        <w:pStyle w:val="1_634"/>
        <w:jc w:val="center"/>
      </w:pPr>
      <w:r>
        <w:rPr>
          <w:sz w:val="24"/>
        </w:rPr>
        <w:t xml:space="preserve">ДО ДОСТИЖЕНИЯ ИМ ВОЗРАСТА ТРЕХ ЛЕТ И НЕЗАНЯТЫМ ГРАЖДАНАМ,</w:t>
      </w:r>
      <w:r/>
      <w:r/>
    </w:p>
    <w:p>
      <w:pPr>
        <w:pStyle w:val="1_634"/>
        <w:jc w:val="center"/>
      </w:pPr>
      <w:r>
        <w:rPr>
          <w:sz w:val="24"/>
        </w:rPr>
        <w:t xml:space="preserve">КОТОРЫМ В СООТВЕТСТВИИ С ЗАКОНОДАТЕЛЬСТВОМ РОССИЙСКОЙ</w:t>
      </w:r>
      <w:r/>
      <w:r/>
    </w:p>
    <w:p>
      <w:pPr>
        <w:pStyle w:val="1_634"/>
        <w:jc w:val="center"/>
      </w:pPr>
      <w:r>
        <w:rPr>
          <w:sz w:val="24"/>
        </w:rPr>
        <w:t xml:space="preserve">ФЕДЕРАЦИИ НАЗНАЧЕНА СТРАХОВАЯ ПЕНСИЯ ПО СТАРОСТИ И КОТОРЫЕ</w:t>
      </w:r>
      <w:r/>
      <w:r/>
    </w:p>
    <w:p>
      <w:pPr>
        <w:pStyle w:val="1_634"/>
        <w:jc w:val="center"/>
      </w:pPr>
      <w:r>
        <w:rPr>
          <w:sz w:val="24"/>
        </w:rPr>
        <w:t xml:space="preserve">СТРЕМЯТСЯ ВОЗОБНОВИТЬ ТРУДОВУЮ ДЕЯТЕЛЬНОСТЬ, И ИНЫМ</w:t>
      </w:r>
      <w:r/>
      <w:r/>
    </w:p>
    <w:p>
      <w:pPr>
        <w:pStyle w:val="1_634"/>
        <w:jc w:val="center"/>
      </w:pPr>
      <w:r>
        <w:rPr>
          <w:sz w:val="24"/>
        </w:rPr>
        <w:t xml:space="preserve">КАТЕГОРИЯМ ГРАЖДАН, НАПРАВЛЕННЫХ ОРГАНАМИ СЛУЖБЫ</w:t>
      </w:r>
      <w:r/>
      <w:r/>
    </w:p>
    <w:p>
      <w:pPr>
        <w:pStyle w:val="1_634"/>
        <w:jc w:val="center"/>
      </w:pPr>
      <w:r>
        <w:rPr>
          <w:sz w:val="24"/>
        </w:rPr>
        <w:t xml:space="preserve">ЗАНЯТОСТИ ДЛЯ ПРОХОЖДЕНИЯ ПРОФЕССИОНАЛЬНОГО ОБУЧЕНИЯ,</w:t>
      </w:r>
      <w:r/>
      <w:r/>
    </w:p>
    <w:p>
      <w:pPr>
        <w:pStyle w:val="1_634"/>
        <w:jc w:val="center"/>
      </w:pPr>
      <w:r>
        <w:rPr>
          <w:sz w:val="24"/>
        </w:rPr>
        <w:t xml:space="preserve">ПОЛУЧЕНИЯ ДОПОЛНИТЕЛЬНОГО ПРОФЕССИОНАЛЬНОГО ОБРАЗОВАНИЯ</w:t>
      </w:r>
      <w:r/>
      <w:r/>
    </w:p>
    <w:p>
      <w:pPr>
        <w:pStyle w:val="1_634"/>
        <w:jc w:val="center"/>
      </w:pPr>
      <w:r>
        <w:rPr>
          <w:sz w:val="24"/>
        </w:rPr>
        <w:t xml:space="preserve">В ДРУГУЮ МЕСТНОСТЬ В РАМКАХ РЕАЛИЗАЦИИ ГОСУДАРСТВЕННОЙ</w:t>
      </w:r>
      <w:r/>
      <w:r/>
    </w:p>
    <w:p>
      <w:pPr>
        <w:pStyle w:val="1_634"/>
        <w:jc w:val="center"/>
      </w:pPr>
      <w:r>
        <w:rPr>
          <w:sz w:val="24"/>
        </w:rPr>
        <w:t xml:space="preserve">ПРОГРАММЫ НОВОСИБИРСКОЙ ОБЛАСТИ "СОДЕЙСТВИЕ</w:t>
      </w:r>
      <w:r/>
      <w:r/>
    </w:p>
    <w:p>
      <w:pPr>
        <w:pStyle w:val="1_634"/>
        <w:jc w:val="center"/>
      </w:pPr>
      <w:r>
        <w:rPr>
          <w:sz w:val="24"/>
        </w:rPr>
        <w:t xml:space="preserve">ЗАНЯТОСТИ НАСЕЛЕНИЯ"</w:t>
      </w:r>
      <w:r/>
      <w:r/>
    </w:p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(введен </w:t>
            </w:r>
            <w:hyperlink r:id="rId8" w:tooltip="Постановление Правительства Новосибирской области от 27.06.2017 N 245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27.06.2017 N 245-п;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Новосибирской области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27.02.2018 </w:t>
            </w:r>
            <w:hyperlink r:id="rId9" w:tooltip="Постановление Правительства Новосибирской области от 27.02.2018 N 7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71-п</w:t>
              </w:r>
            </w:hyperlink>
            <w:r>
              <w:rPr>
                <w:color w:val="392c69"/>
                <w:sz w:val="24"/>
              </w:rPr>
              <w:t xml:space="preserve">, от 25.09.2018 </w:t>
            </w:r>
            <w:hyperlink r:id="rId10" w:tooltip="Постановление Правительства Новосибирской области от 25.09.2018 N 397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397-п</w:t>
              </w:r>
            </w:hyperlink>
            <w:r>
              <w:rPr>
                <w:color w:val="392c69"/>
                <w:sz w:val="24"/>
              </w:rPr>
              <w:t xml:space="preserve">, от 07.02.2019 </w:t>
            </w:r>
            <w:hyperlink r:id="rId11" w:tooltip="Постановление Правительства Новосибирской области от 07.02.2019 N 29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29-п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  <w:r/>
          </w:p>
          <w:p>
            <w:pPr>
              <w:pStyle w:val="1_633"/>
              <w:jc w:val="center"/>
            </w:pPr>
            <w:r>
              <w:rPr>
                <w:color w:val="392c69"/>
                <w:sz w:val="24"/>
              </w:rPr>
              <w:t xml:space="preserve">от 14.01.2020 </w:t>
            </w:r>
            <w:hyperlink r:id="rId12" w:tooltip="Постановление Правительства Новосибирской области от 14.01.2020 N 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1-п</w:t>
              </w:r>
            </w:hyperlink>
            <w:r>
              <w:rPr>
                <w:color w:val="392c69"/>
                <w:sz w:val="24"/>
              </w:rPr>
              <w:t xml:space="preserve">, от 31.08.2021 </w:t>
            </w:r>
            <w:hyperlink r:id="rId13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336-п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от 23.09.2025 </w:t>
            </w:r>
            <w:hyperlink r:id="rId14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437-п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1_633"/>
        <w:ind w:firstLine="540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/>
      <w:bookmarkStart w:id="0" w:name="undefined"/>
      <w:r/>
      <w:bookmarkEnd w:id="0"/>
      <w:r>
        <w:rPr>
          <w:sz w:val="24"/>
        </w:rPr>
        <w:t xml:space="preserve">1. Настоящий Порядок разработан в соответствии с </w:t>
      </w:r>
      <w:hyperlink r:id="rId1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частями 9</w:t>
        </w:r>
      </w:hyperlink>
      <w:r>
        <w:rPr>
          <w:sz w:val="24"/>
        </w:rPr>
        <w:t xml:space="preserve">,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13 статьи 30</w:t>
        </w:r>
      </w:hyperlink>
      <w:r>
        <w:rPr>
          <w:sz w:val="24"/>
        </w:rPr>
        <w:t xml:space="preserve">,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2 статьи 37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Федерации", приказами Минтруда России от 07.11.2024 </w:t>
      </w:r>
      <w:hyperlink r:id="rId18" w:tooltip="Приказ Минтруда России от 07.11.2024 N 611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&quot; (Зарегистрировано в Минюсте России 06.02.2025 N 81188) {КонсультантПлюс}" w:history="1">
        <w:r>
          <w:rPr>
            <w:color w:val="0000ff"/>
            <w:sz w:val="24"/>
          </w:rPr>
          <w:t xml:space="preserve">N 611н</w:t>
        </w:r>
      </w:hyperlink>
      <w:r>
        <w:rPr>
          <w:sz w:val="24"/>
        </w:rPr>
        <w:t xml:space="preserve"> "Об утверждении Стандарта деятельности </w:t>
      </w:r>
      <w:r>
        <w:rPr>
          <w:sz w:val="24"/>
        </w:rPr>
        <w:t xml:space="preserve">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местности", от 21.11.2024 </w:t>
      </w:r>
      <w:hyperlink r:id="rId19" w:tooltip="Приказ Минтруда России от 21.11.2024 N 628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 {КонсультантПлюс}" w:history="1">
        <w:r>
          <w:rPr>
            <w:color w:val="0000ff"/>
            <w:sz w:val="24"/>
          </w:rPr>
          <w:t xml:space="preserve">N 628н</w:t>
        </w:r>
      </w:hyperlink>
      <w:r>
        <w:rPr>
          <w:sz w:val="24"/>
        </w:rPr>
        <w:t xml:space="preserve"> "Об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</w:t>
      </w:r>
      <w:r>
        <w:rPr>
          <w:sz w:val="24"/>
        </w:rPr>
        <w:t xml:space="preserve">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</w:t>
      </w:r>
      <w:r>
        <w:rPr>
          <w:sz w:val="24"/>
        </w:rPr>
        <w:t xml:space="preserve">вую деятельность, и иными категориями граждан" и регламентирует предоставление финансовой поддержки безработным гражданам, женщинам в период отпуска по уходу за ребенком до достижения им возраста трех лет, незанятым гражданам, которым в соответствии с зако</w:t>
      </w:r>
      <w:r>
        <w:rPr>
          <w:sz w:val="24"/>
        </w:rPr>
        <w:t xml:space="preserve">нодательством Российской Федерации назначена страховая пенсия по старости и которые стремятся возобновить трудовую деятельность, незанятым инвалидам в соответствии с перечнем востребованных на рынке труда профессий, специальностей, направленным органами сл</w:t>
      </w:r>
      <w:r>
        <w:rPr>
          <w:sz w:val="24"/>
        </w:rPr>
        <w:t xml:space="preserve">ужбы занятости для прохождения профессионального обучения, получения дополнительного профессионального образования в другую местность (далее - граждане), источником финансового обеспечения которой являются средства областного бюджета Новосибирской области.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Под органами службы занятости понимаются государственные казенные учреждения Новосибирской области центры занятости населения (далее - центры занятости населения).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Информирование граждан о порядке организации профессионального обучения, дополнительного профессионального образования осуществляется в федеральной государственной информационной системе Единая цифровая платформа в сфере занятости и трудовых отношений "Р</w:t>
      </w:r>
      <w:r>
        <w:rPr>
          <w:sz w:val="24"/>
        </w:rPr>
        <w:t xml:space="preserve">абота в России" (далее - единая цифровая платформа) и 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Предоставление финансовой поддержки гражданам осуществляется посредством единой цифровой платформы.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При предоставлении финансовой поддержки предоставляются сервисы "Востребованные квалификации и навыки", "Востребованные</w:t>
      </w:r>
      <w:r>
        <w:rPr>
          <w:sz w:val="24"/>
        </w:rPr>
        <w:t xml:space="preserve"> квалификации и навыки безработным гражданам", включающие процедуру назначения и выплаты финансовой поддержки при направлении гражданина для прохождения профессионального обучения, получения дополнительного профессионального образования в другую местность.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2. Финансовая поддержка гражданам, направленным центрами занятости населения для прохождения профессионального обучения, получения дополнительного профессионального образования в другую местность, предоставляется в виде возмещения расходов: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на оплату стоимости проезда к месту прохождения профессионального обучения, получения дополнительного профессионального образования в другой местности и обратно;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на оплату найма жи</w:t>
      </w:r>
      <w:r>
        <w:rPr>
          <w:sz w:val="24"/>
        </w:rPr>
        <w:t xml:space="preserve">лого помещения на время прохождения профессионального обучения, получения дополнительного профессионального образования в другой местности (кроме случаев, когда гражданину предоставляется бесплатное жилое помещение в общежитии образовательной организации);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на выплату гражданам суточных расходов - в размере 100 рублей за </w:t>
      </w:r>
      <w:r>
        <w:rPr>
          <w:sz w:val="24"/>
        </w:rPr>
        <w:t xml:space="preserve">каждый день нахождения в пути следования к месту прохождения профессионального обучения, получения дополнительного профессионального образования в другой местности и обратно. Суточные не выплачиваются, если время нахождения в пути не превышает одних суток.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3. Оплата стоимост</w:t>
      </w:r>
      <w:r>
        <w:rPr>
          <w:sz w:val="24"/>
        </w:rPr>
        <w:t xml:space="preserve">и проезда к месту прохождения профессионального обучения, получения дополнительного профессионального образования в другой местности и обратно производится в размере фактических расходов, подтвержденных проездными документами, но не выше стоимости проезда: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железнодорожным транспортом - в плацкартном вагоне пассажирского поезда;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автомобильным транспортом - в автобусе междугороднего сообщения.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4. Оплата найма </w:t>
      </w:r>
      <w:r>
        <w:rPr>
          <w:sz w:val="24"/>
        </w:rPr>
        <w:t xml:space="preserve">жилого помещения на время прохождения профессионального обучения, получения дополнительного профессионального образования в другой местности производится в размере исходя из фактических документально подтвержденных расходов, но не более 550 рублей в сутки.</w:t>
      </w:r>
      <w:r/>
      <w:r/>
    </w:p>
    <w:p>
      <w:pPr>
        <w:pStyle w:val="1_633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 Для получения финансовой поддержки граждане обращаются в центры занятости населения, направившие их для прохождения профессионального обучения, получения дополнительного профессионального образования, и представляют следующие документы: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заявление о перечислении финансовой поддержки с указанием реквизитов лицевого счета, открытого в кредитной организации;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паспорт или документ, его заменяющий;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документ, подтверждающ</w:t>
      </w:r>
      <w:r>
        <w:rPr>
          <w:sz w:val="24"/>
        </w:rPr>
        <w:t xml:space="preserve">ий прохождение профессионального обучения, получение дополнительного профессионального образования в образовательных организациях в другой местности с указанием фактического периода профессионального обучения, дополнительного профессионального образования;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документы, подтверждающие расходы по оплате: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а) проезда к месту прохождения профессионального обучения, получения дополнительного профессионального образования и обратно (проездные документы);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б) найма жилого помещения на время прохождения профессионал</w:t>
      </w:r>
      <w:r>
        <w:rPr>
          <w:sz w:val="24"/>
        </w:rPr>
        <w:t xml:space="preserve">ьного обучения, получения дополнительного профессионального образования в другой местности (квитанции, кассовые чеки, договоры найма жилого помещения на время прохождения профессионального обучения, получения дополнительного профессионального образования).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6. Центр занятости населения не позднее одного рабочего дня после представления гражданином оригиналов документов, указанных в </w:t>
      </w:r>
      <w:hyperlink w:tooltip="5. Для получения финансовой поддержки граждане обращаются в центры занятости населения, направившие их для прохождения профессионального обучения, получения дополнительного профессионального образования, и представляют следующие документы:" w:anchor="P707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вносит на единую цифровую платформу информацию о затратах гражданина на прохождение профессионального обучения, получение дополнительного профессионального образования в другой местности;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направляет запрос в порядке межведомственного взаимо</w:t>
      </w:r>
      <w:r>
        <w:rPr>
          <w:sz w:val="24"/>
        </w:rPr>
        <w:t xml:space="preserve">действия, в том числе с использованием единой системы межведомственного электронного взаимодействия, в Федеральную налоговую службу о проведении проверки подлинности фискальных признаков, указанных в документах, представленных гражданином в соответствии с </w:t>
      </w:r>
      <w:hyperlink w:tooltip="5. Для получения финансовой поддержки граждане обращаются в центры занятости населения, направившие их для прохождения профессионального обучения, получения дополнительного профессионального образования, и представляют следующие документы:" w:anchor="P707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Порядка.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7. Центр занятости населения с учетом сведений Федеральной налоговой службы принимает решение об оказании финансовой поддержки гражданину.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Решение центра заня</w:t>
      </w:r>
      <w:r>
        <w:rPr>
          <w:sz w:val="24"/>
        </w:rPr>
        <w:t xml:space="preserve">тости населения оформляется в виде приказа об оказании финансовой поддержки гражданину, направленному центром занятости населения для прохождения профессионального обучения, получения дополнительного профессионального образования в другую местность, или об</w:t>
      </w:r>
      <w:r>
        <w:rPr>
          <w:sz w:val="24"/>
        </w:rPr>
        <w:t xml:space="preserve"> отказе в оказании финансовой поддержки гражданину, направленному центром занятости населения для прохождения профессионального обучения, получения дополнительного профессионального образования в другую местность в срок, не превышающий десяти рабочих дней.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Центр занятости населения направляет гражданину уведомление об оказании финансовой поддержки или об отказе в оказании финансовой поддержки не позднее одного рабочего дня со дня издания приказа.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8. Основанием для отказа гражданину в выплате финансовой поддержки является непредставление документов, перечисленных в </w:t>
      </w:r>
      <w:hyperlink w:tooltip="5. Для получения финансовой поддержки граждане обращаются в центры занятости населения, направившие их для прохождения профессионального обучения, получения дополнительного профессионального образования, и представляют следующие документы:" w:anchor="P707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9. Выплата финансовой поддержки осуществляется центрами занятости населения в течение десяти рабочих дней с даты принятия решения о выплате финансовой поддержки через кредитную организацию путем зачисления денежных средств на лицевые счета граждан.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10. Выплата финансовой поддержки прекращается в случаях: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для безработного гражданина - снятия с регистрационного учета в качестве безработного до момента заключения с безработным гражданином договора на организацию профессионального обучения, дополнительного профессионального образования;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несоответствия гражданина категории, указанной в </w:t>
      </w:r>
      <w:hyperlink w:tooltip="1. Настоящий Порядок разработан в соответствии с частями 9, 13 статьи 30, частью 2 статьи 37 Федерального закона от 12.12.2023 N 565-ФЗ &quot;О занятости населения в Российской Федерации&quot;, приказами Минтруда России от 07.11.2024 N 611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..." w:anchor="P694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если с момента последнего прохождения ж</w:t>
      </w:r>
      <w:r>
        <w:rPr>
          <w:sz w:val="24"/>
        </w:rPr>
        <w:t xml:space="preserve">енщиной в период отпуска по уходу за ребенком до достижения им возраста трех лет, незанятым гражданином, которому в соответствии с законодательством Российской Федерации назначена страховая пенсия по старости и который стремится возобновить трудовую деятел</w:t>
      </w:r>
      <w:r>
        <w:rPr>
          <w:sz w:val="24"/>
        </w:rPr>
        <w:t xml:space="preserve">ьность, незанятым инвалидом в соответствии с перечнем востребованных на рынке труда профессий, специальностей профессионального обучения, получения дополнительного профессионального образования по направлению органов службы занятости прошло менее трех лет;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представления гражданином недостоверной информации, в том числе в случае получения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5) неявки гражданина без уважительных причин в центр занятости населения в назначенные центром занятости населения дату и время;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6) непредставления гражданином документов, указанных в уведомлении о личной явке;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7) непрохождения гражданином профессиональной ориентации и отсутствия заключения о результатах профессиональной ориентации;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8) если заключение о результатах профессиональной ориентации содержит информацию о нецелесообразности прохождения гражданином профессионального обучения, дополнительного профессионального образования;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9) если заключение о результатах профессиональной ориентации содержит информаци</w:t>
      </w:r>
      <w:r>
        <w:rPr>
          <w:sz w:val="24"/>
        </w:rPr>
        <w:t xml:space="preserve">ю о целесообразности прохождения гражданином профессионального обучения, дополнительного профессионального образования при условии выбора им другой образовательной программы и одновременный отказ гражданина от изменения выбранной образовательной программы;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10) ненаправления гражданином в центр занятости населения информации о выбранном варианте образовательной программы в течение одного рабочего дня со дня направления центром занятости населения перечня вариантов образовательных программ;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11) </w:t>
      </w:r>
      <w:r>
        <w:rPr>
          <w:sz w:val="24"/>
        </w:rPr>
        <w:t xml:space="preserve">непредставления гражданином лично в центр занятости населения заключения о прохождении медицинского освидетельствования в срок не позднее десяти календарных дней со дня направления центром занятости населения направления на медицинское освидетельствование;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12) если заключен</w:t>
      </w:r>
      <w:r>
        <w:rPr>
          <w:sz w:val="24"/>
        </w:rPr>
        <w:t xml:space="preserve">ие о прохождении медицинского освидетельствования содержит информацию о наличии противопоказаний к осуществлению трудовой деятельности по выбранной образовательной программе и одновременный отказ гражданина от изменения выбранной образовательной программы;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13) незаключения договора об организации прохождения профессионального обучения, получения дополнительного профессионального образования гражданина не позднее четырех рабочих дней до дня начала обучения;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14) отсутствия взаим</w:t>
      </w:r>
      <w:r>
        <w:rPr>
          <w:sz w:val="24"/>
        </w:rPr>
        <w:t xml:space="preserve">одействия гражданина с центром занятости населения более одного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11. Финансовое обеспечение расходных обязательств </w:t>
      </w:r>
      <w:r>
        <w:rPr>
          <w:sz w:val="24"/>
        </w:rPr>
        <w:t xml:space="preserve">по выплате гражданам финансовой поддержки осуществляется в пределах бюджетных ассигнований и лимитов бюджетных обязательств, предусмотренных центрам занятости населения на указанные цели на соответствующий финансовый год за счет средств областного бюджета.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12. Министерство труда и социального развития Новосибирской области осуществляет контроль за целевым использованием центрами занятости населения средств областного бюджета, направленных на предоставление финансовой поддержки.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00503&amp;date=26.09.2025&amp;dst=100075&amp;field=134" TargetMode="External"/><Relationship Id="rId9" Type="http://schemas.openxmlformats.org/officeDocument/2006/relationships/hyperlink" Target="https://login.consultant.ru/link/?req=doc&amp;base=RLAW049&amp;n=107425&amp;date=26.09.2025&amp;dst=100174&amp;field=134" TargetMode="External"/><Relationship Id="rId10" Type="http://schemas.openxmlformats.org/officeDocument/2006/relationships/hyperlink" Target="https://login.consultant.ru/link/?req=doc&amp;base=RLAW049&amp;n=112719&amp;date=26.09.2025&amp;dst=100227&amp;field=134" TargetMode="External"/><Relationship Id="rId11" Type="http://schemas.openxmlformats.org/officeDocument/2006/relationships/hyperlink" Target="https://login.consultant.ru/link/?req=doc&amp;base=RLAW049&amp;n=116409&amp;date=26.09.2025&amp;dst=100506&amp;field=134" TargetMode="External"/><Relationship Id="rId12" Type="http://schemas.openxmlformats.org/officeDocument/2006/relationships/hyperlink" Target="https://login.consultant.ru/link/?req=doc&amp;base=RLAW049&amp;n=125220&amp;date=26.09.2025&amp;dst=100398&amp;field=134" TargetMode="External"/><Relationship Id="rId13" Type="http://schemas.openxmlformats.org/officeDocument/2006/relationships/hyperlink" Target="https://login.consultant.ru/link/?req=doc&amp;base=RLAW049&amp;n=142385&amp;date=26.09.2025&amp;dst=100006&amp;field=134" TargetMode="External"/><Relationship Id="rId14" Type="http://schemas.openxmlformats.org/officeDocument/2006/relationships/hyperlink" Target="https://login.consultant.ru/link/?req=doc&amp;base=RLAW049&amp;n=142385&amp;date=26.09.2025&amp;dst=100006&amp;field=134" TargetMode="External"/><Relationship Id="rId15" Type="http://schemas.openxmlformats.org/officeDocument/2006/relationships/hyperlink" Target="https://login.consultant.ru/link/?req=doc&amp;base=LAW&amp;n=482895&amp;date=29.09.2025&amp;dst=100385&amp;field=134" TargetMode="External"/><Relationship Id="rId16" Type="http://schemas.openxmlformats.org/officeDocument/2006/relationships/hyperlink" Target="https://login.consultant.ru/link/?req=doc&amp;base=LAW&amp;n=482895&amp;date=29.09.2025&amp;dst=100392&amp;field=134" TargetMode="External"/><Relationship Id="rId17" Type="http://schemas.openxmlformats.org/officeDocument/2006/relationships/hyperlink" Target="https://login.consultant.ru/link/?req=doc&amp;base=LAW&amp;n=482895&amp;date=29.09.2025&amp;dst=100454&amp;field=134" TargetMode="External"/><Relationship Id="rId18" Type="http://schemas.openxmlformats.org/officeDocument/2006/relationships/hyperlink" Target="https://login.consultant.ru/link/?req=doc&amp;base=LAW&amp;n=498161&amp;date=29.09.2025" TargetMode="External"/><Relationship Id="rId19" Type="http://schemas.openxmlformats.org/officeDocument/2006/relationships/hyperlink" Target="https://login.consultant.ru/link/?req=doc&amp;base=LAW&amp;n=499163&amp;date=29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2025-09-29T07:41:01Z</dcterms:modified>
</cp:coreProperties>
</file>