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D1" w:rsidRDefault="003B30D1">
      <w:pPr>
        <w:pStyle w:val="ConsPlusNormal"/>
        <w:jc w:val="right"/>
        <w:outlineLvl w:val="0"/>
      </w:pPr>
      <w:r>
        <w:t>Приложение N 1</w:t>
      </w:r>
    </w:p>
    <w:p w:rsidR="003B30D1" w:rsidRDefault="003B30D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3B30D1" w:rsidRDefault="003B30D1">
      <w:pPr>
        <w:pStyle w:val="ConsPlusNormal"/>
        <w:jc w:val="right"/>
      </w:pPr>
      <w:r>
        <w:t>Правительства Новосибирской области</w:t>
      </w:r>
    </w:p>
    <w:p w:rsidR="003B30D1" w:rsidRDefault="003B30D1">
      <w:pPr>
        <w:pStyle w:val="ConsPlusNormal"/>
        <w:jc w:val="right"/>
      </w:pPr>
      <w:r>
        <w:t>от 23.04.2013 N 177-п</w:t>
      </w:r>
    </w:p>
    <w:p w:rsidR="003B30D1" w:rsidRDefault="003B30D1">
      <w:pPr>
        <w:pStyle w:val="ConsPlusNormal"/>
        <w:ind w:firstLine="540"/>
        <w:jc w:val="both"/>
      </w:pPr>
    </w:p>
    <w:p w:rsidR="003B30D1" w:rsidRDefault="003B30D1">
      <w:pPr>
        <w:pStyle w:val="ConsPlusNormal"/>
        <w:jc w:val="center"/>
        <w:rPr>
          <w:b/>
          <w:bCs/>
        </w:rPr>
      </w:pPr>
      <w:bookmarkStart w:id="0" w:name="Par285"/>
      <w:bookmarkEnd w:id="0"/>
      <w:r>
        <w:rPr>
          <w:b/>
          <w:bCs/>
        </w:rPr>
        <w:t>ПОРЯДОК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ФИНАНСИРОВАНИЯ МЕРОПРИЯТИЙ ГОСУДАРСТВЕННОЙ ПРОГРАММЫ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НОВОСИБИРСКОЙ ОБЛАСТИ "СОДЕЙСТВИЕ ЗАНЯТОСТИ НАСЕЛЕНИЯ"</w:t>
      </w:r>
    </w:p>
    <w:p w:rsidR="003B30D1" w:rsidRDefault="003B30D1">
      <w:pPr>
        <w:pStyle w:val="ConsPlusNormal"/>
        <w:jc w:val="center"/>
        <w:rPr>
          <w:b/>
          <w:bCs/>
        </w:rPr>
      </w:pPr>
      <w:r>
        <w:rPr>
          <w:b/>
          <w:bCs/>
        </w:rPr>
        <w:t>(ДАЛЕЕ - ПОРЯДОК)</w:t>
      </w:r>
    </w:p>
    <w:p w:rsidR="003B30D1" w:rsidRDefault="003B30D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B30D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D1" w:rsidRDefault="003B30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D1" w:rsidRDefault="003B30D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12.08.2015 N 304-п;</w:t>
            </w:r>
          </w:p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постановлений Правительства Новосибирской области</w:t>
            </w:r>
          </w:p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27.02.2018 </w:t>
            </w:r>
            <w:hyperlink r:id="rId5" w:history="1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 xml:space="preserve">, от 07.02.2019 </w:t>
            </w:r>
            <w:hyperlink r:id="rId6" w:history="1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 xml:space="preserve">, от 27.04.2020 </w:t>
            </w:r>
            <w:hyperlink r:id="rId7" w:history="1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>,</w:t>
            </w:r>
          </w:p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30.03.2021 </w:t>
            </w:r>
            <w:hyperlink r:id="rId8" w:history="1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 xml:space="preserve">, от 29.03.2022 </w:t>
            </w:r>
            <w:hyperlink r:id="rId9" w:history="1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31.05.2024 </w:t>
            </w:r>
            <w:hyperlink r:id="rId10" w:history="1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0D1" w:rsidRDefault="003B30D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B30D1" w:rsidRDefault="003B30D1">
      <w:pPr>
        <w:pStyle w:val="ConsPlusNormal"/>
        <w:ind w:firstLine="540"/>
        <w:jc w:val="both"/>
      </w:pPr>
    </w:p>
    <w:p w:rsidR="003B30D1" w:rsidRDefault="003B30D1">
      <w:pPr>
        <w:pStyle w:val="ConsPlusNormal"/>
        <w:ind w:firstLine="540"/>
        <w:jc w:val="both"/>
      </w:pPr>
      <w:r>
        <w:t xml:space="preserve">1. Настоящий Порядок регламентирует финансирование из областного бюджета Новосибирской области (далее - областной бюджет) мероприятий государственной </w:t>
      </w:r>
      <w:hyperlink w:anchor="Par67" w:history="1">
        <w:r>
          <w:rPr>
            <w:color w:val="0000FF"/>
          </w:rPr>
          <w:t>программы</w:t>
        </w:r>
      </w:hyperlink>
      <w:r>
        <w:t xml:space="preserve"> Новосибирской области "Содействие занятости населения" (далее - государственная программа).</w:t>
      </w:r>
    </w:p>
    <w:p w:rsidR="003B30D1" w:rsidRDefault="003B30D1">
      <w:pPr>
        <w:pStyle w:val="ConsPlusNormal"/>
        <w:jc w:val="both"/>
      </w:pPr>
      <w:r>
        <w:t xml:space="preserve">(в ред. постановлений Правительства Новосибирской области от 07.02.2019 </w:t>
      </w:r>
      <w:hyperlink r:id="rId11" w:history="1">
        <w:r>
          <w:rPr>
            <w:color w:val="0000FF"/>
          </w:rPr>
          <w:t>N 29-п</w:t>
        </w:r>
      </w:hyperlink>
      <w:r>
        <w:t xml:space="preserve">, от 31.05.2024 </w:t>
      </w:r>
      <w:hyperlink r:id="rId12" w:history="1">
        <w:r>
          <w:rPr>
            <w:color w:val="0000FF"/>
          </w:rPr>
          <w:t>N 249-п</w:t>
        </w:r>
      </w:hyperlink>
      <w:r>
        <w:t>)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2. Источником финансирования мероприятий государственной программы являются средства областного бюджета, включая предоставленные областному бюджету из федерального бюджета субвенции на осуществление переданного полномочия Российской Федерации по осуществлению социальных выплат гражданам, признанным в установленном порядке безработными, и субсидии на реализацию дополнительных мероприятий в сфере занятости населения, а также мероприятий по содействию добровольному переселению в Новосибирскую область соотечественников, проживающих за рубежом.</w:t>
      </w:r>
    </w:p>
    <w:p w:rsidR="003B30D1" w:rsidRDefault="003B30D1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31.05.2024 N 249-п)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2.1.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31.05.2024 N 249-п.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2.2. В рамках государственной программы местным бюджетам муниципальных образований Новосибирской области предоставляются субвенции из областного бюджета Новосибирской области на реализацию мероприятий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соглашений.</w:t>
      </w:r>
    </w:p>
    <w:p w:rsidR="003B30D1" w:rsidRDefault="003B30D1">
      <w:pPr>
        <w:pStyle w:val="ConsPlusNormal"/>
        <w:jc w:val="both"/>
      </w:pPr>
      <w:r>
        <w:t xml:space="preserve">(п. 2.2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31.05.2024 N 249-п)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3. Финансирование расходов областного бюджета на реализацию мероприятий государственной программы на соответствующий финансовый год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обязательств, установленных главным распорядителям средств областного бюджета, являющимся исполнителями мероприятий государственной программы, - министерству труда и социального развития Новосибирской области (далее - министерство), министерству образования Новосибирской области.</w:t>
      </w:r>
    </w:p>
    <w:p w:rsidR="003B30D1" w:rsidRDefault="003B30D1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31.05.2024 N 249-п)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4. Для определения предельного объема оплаты денежных обязательств в соответствующем месяце (квартале)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</w:t>
      </w:r>
      <w:r>
        <w:lastRenderedPageBreak/>
        <w:t>финансирования в сроки, установленные министерством финансов и налоговой политики Новосибирской области.</w:t>
      </w:r>
    </w:p>
    <w:p w:rsidR="003B30D1" w:rsidRDefault="003B30D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31.05.2024 N 249-п)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 xml:space="preserve">5. Финансирование мероприятий государственной программы осуществляется согласно перечню мероприятий государственной программы, содержащему сроки проведения соответствующих мероприятий, в соответствии с Бюджетным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на основании заключенных государственных контрактов, гражданско-правовых договоров, трудовых договоров, актов приема выполненных работ (оказанных услуг), счетов, счетов-фактур, товарных накладных, квитанций, кассовых чеков, копий чеков, расчетных ведомостей по оплате труда.</w:t>
      </w:r>
    </w:p>
    <w:p w:rsidR="003B30D1" w:rsidRDefault="003B30D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27.04.2020 N 154-п)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6. Министерство, государственные казенные учреждения Новосибирской области центры занятости населения, государственное автономное учреждение Новосибирской области "Центр развития социальной сферы" (далее - учреждения занятости населения) при осуществлении закупок товаров, работ, услуг в распорядительных документах указывают обоснование необходимости авансирования лиц, осуществляющих поставку товаров, выполнение работ, оказание услуг в соответствии с указанными контрактами, договорами.</w:t>
      </w:r>
    </w:p>
    <w:p w:rsidR="003B30D1" w:rsidRDefault="003B30D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31.05.2024 N 249-п)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7. В случае нарушения целевых показателей и (или)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8.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9. Министерство ежеквартально представляет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сроки, установленные министерством финансов и налоговой политики Новосибирской области.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10. Министерство в пределах своих полномочий осуществляет контроль за целевым использованием средств областного бюджета, выделенных на реализацию мероприятий государственной программы.</w:t>
      </w:r>
    </w:p>
    <w:p w:rsidR="003B30D1" w:rsidRDefault="003B30D1">
      <w:pPr>
        <w:pStyle w:val="ConsPlusNormal"/>
        <w:spacing w:before="220"/>
        <w:ind w:firstLine="540"/>
        <w:jc w:val="both"/>
      </w:pPr>
      <w:r>
        <w:t>11. Учреждения занятости населения несут ответственность за нецелевое использование средств областного бюджета, выделенных на реализацию мероприятий государственной программы, в соответствии с законодательством Российской Федерации.</w:t>
      </w:r>
    </w:p>
    <w:p w:rsidR="003B30D1" w:rsidRDefault="003B30D1" w:rsidP="00096EC3">
      <w:pPr>
        <w:pStyle w:val="ConsPlusNormal"/>
        <w:jc w:val="both"/>
      </w:pPr>
      <w:bookmarkStart w:id="1" w:name="_GoBack"/>
      <w:bookmarkEnd w:id="1"/>
    </w:p>
    <w:sectPr w:rsidR="003B30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D1"/>
    <w:rsid w:val="00096EC3"/>
    <w:rsid w:val="00390F19"/>
    <w:rsid w:val="003B30D1"/>
    <w:rsid w:val="00960ACF"/>
    <w:rsid w:val="00A64099"/>
    <w:rsid w:val="00D4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64F2A-A636-4CCA-9355-9A5250BE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B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38325&amp;dst=100247" TargetMode="External"/><Relationship Id="rId13" Type="http://schemas.openxmlformats.org/officeDocument/2006/relationships/hyperlink" Target="https://login.consultant.ru/link/?req=doc&amp;base=RLAW049&amp;n=173123&amp;dst=100013" TargetMode="External"/><Relationship Id="rId18" Type="http://schemas.openxmlformats.org/officeDocument/2006/relationships/hyperlink" Target="https://login.consultant.ru/link/?req=doc&amp;base=LAW&amp;n=4707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49&amp;n=173123&amp;dst=100021" TargetMode="External"/><Relationship Id="rId7" Type="http://schemas.openxmlformats.org/officeDocument/2006/relationships/hyperlink" Target="https://login.consultant.ru/link/?req=doc&amp;base=RLAW049&amp;n=128557&amp;dst=100107" TargetMode="External"/><Relationship Id="rId12" Type="http://schemas.openxmlformats.org/officeDocument/2006/relationships/hyperlink" Target="https://login.consultant.ru/link/?req=doc&amp;base=RLAW049&amp;n=173123&amp;dst=100012" TargetMode="External"/><Relationship Id="rId17" Type="http://schemas.openxmlformats.org/officeDocument/2006/relationships/hyperlink" Target="https://login.consultant.ru/link/?req=doc&amp;base=RLAW049&amp;n=173123&amp;dst=100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3123&amp;dst=100018" TargetMode="External"/><Relationship Id="rId20" Type="http://schemas.openxmlformats.org/officeDocument/2006/relationships/hyperlink" Target="https://login.consultant.ru/link/?req=doc&amp;base=RLAW049&amp;n=128557&amp;dst=100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16409&amp;dst=100498" TargetMode="External"/><Relationship Id="rId11" Type="http://schemas.openxmlformats.org/officeDocument/2006/relationships/hyperlink" Target="https://login.consultant.ru/link/?req=doc&amp;base=RLAW049&amp;n=116409&amp;dst=100500" TargetMode="External"/><Relationship Id="rId5" Type="http://schemas.openxmlformats.org/officeDocument/2006/relationships/hyperlink" Target="https://login.consultant.ru/link/?req=doc&amp;base=RLAW049&amp;n=107425&amp;dst=100169" TargetMode="External"/><Relationship Id="rId15" Type="http://schemas.openxmlformats.org/officeDocument/2006/relationships/hyperlink" Target="https://login.consultant.ru/link/?req=doc&amp;base=RLAW049&amp;n=173123&amp;dst=1000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73123&amp;dst=100011" TargetMode="External"/><Relationship Id="rId19" Type="http://schemas.openxmlformats.org/officeDocument/2006/relationships/hyperlink" Target="https://login.consultant.ru/link/?req=doc&amp;base=LAW&amp;n=465972" TargetMode="External"/><Relationship Id="rId4" Type="http://schemas.openxmlformats.org/officeDocument/2006/relationships/hyperlink" Target="https://login.consultant.ru/link/?req=doc&amp;base=RLAW049&amp;n=82846&amp;dst=100026" TargetMode="External"/><Relationship Id="rId9" Type="http://schemas.openxmlformats.org/officeDocument/2006/relationships/hyperlink" Target="https://login.consultant.ru/link/?req=doc&amp;base=RLAW049&amp;n=149449&amp;dst=100198" TargetMode="External"/><Relationship Id="rId14" Type="http://schemas.openxmlformats.org/officeDocument/2006/relationships/hyperlink" Target="https://login.consultant.ru/link/?req=doc&amp;base=RLAW049&amp;n=173123&amp;dst=1000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Штайгер Оксана Игоревна</dc:creator>
  <cp:keywords/>
  <dc:description/>
  <cp:lastModifiedBy>Штайгер Оксана Игоревна</cp:lastModifiedBy>
  <cp:revision>5</cp:revision>
  <dcterms:created xsi:type="dcterms:W3CDTF">2024-06-17T02:00:00Z</dcterms:created>
  <dcterms:modified xsi:type="dcterms:W3CDTF">2024-06-17T02:20:00Z</dcterms:modified>
</cp:coreProperties>
</file>