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Приложение 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  <w:t xml:space="preserve">хождение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реестр поставщиков социальны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 услуг в Новосибирской области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Поставщиками социальных ус</w:t>
      </w:r>
      <w:r>
        <w:rPr>
          <w:rFonts w:ascii="Times New Roman" w:hAnsi="Times New Roman" w:cs="Times New Roman"/>
          <w:sz w:val="28"/>
          <w:szCs w:val="28"/>
        </w:rPr>
        <w:t xml:space="preserve">луг являются юридические лица и</w:t>
      </w:r>
      <w:r>
        <w:rPr>
          <w:rFonts w:ascii="Times New Roman" w:hAnsi="Times New Roman" w:cs="Times New Roman"/>
          <w:sz w:val="28"/>
          <w:szCs w:val="28"/>
        </w:rPr>
        <w:t xml:space="preserve">(или) индивидуальные предприниматели, осуществляющие социальное обслуживание. При оказании социальных услуг поставщики социальных услуг обязаны руководствов</w:t>
      </w:r>
      <w:r>
        <w:rPr>
          <w:rFonts w:ascii="Times New Roman" w:hAnsi="Times New Roman" w:cs="Times New Roman"/>
          <w:sz w:val="28"/>
          <w:szCs w:val="28"/>
        </w:rPr>
        <w:t xml:space="preserve">аться положениями Федерального З</w:t>
      </w:r>
      <w:r>
        <w:rPr>
          <w:rFonts w:ascii="Times New Roman" w:hAnsi="Times New Roman" w:cs="Times New Roman"/>
          <w:sz w:val="28"/>
          <w:szCs w:val="28"/>
        </w:rPr>
        <w:t xml:space="preserve">акона от 28.12.2013 № 442-ФЗ «Об основах социального обслуживания граждан в Российской Федерации».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организаций социального обслуживания в реестр поставщиков социальных услуг осуществляется на добровольной основе.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вхождения</w:t>
      </w:r>
      <w:r>
        <w:rPr>
          <w:rFonts w:ascii="Times New Roman" w:hAnsi="Times New Roman" w:cs="Times New Roman"/>
          <w:sz w:val="28"/>
          <w:szCs w:val="28"/>
        </w:rPr>
        <w:t xml:space="preserve"> в реестр поставщиков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 н</w:t>
      </w:r>
      <w:r>
        <w:rPr>
          <w:rFonts w:ascii="Times New Roman" w:hAnsi="Times New Roman" w:cs="Times New Roman"/>
          <w:sz w:val="28"/>
          <w:szCs w:val="28"/>
        </w:rPr>
        <w:t xml:space="preserve">еобходимо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в министерство труда и социального развития Новосибирской области заявление с приложением документов, содержащих сведения: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полное и (если имеется) сокращенное наименование поставщика социальных услуг;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дата государственной регистрации юридического лица, индивидуального предпринимателя, являющихся поставщиками социальных услуг;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организационно-правовая форма поставщика социальных услуг (для юридических лиц);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адрес (место нахождения, место предоставления социальных услуг), контактный телефон, адрес электронной почты поставщика социальных услуг;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фамилия, имя, отчество (при наличии) руководителя поставщика социальных услуг;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информация о лицензиях, имеющихся у поставщика социальных услуг (при наличии);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сведения о формах социального обслуживания;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перечень предоставляемых социальных услуг по формам социального обслуживания и видам социальных услуг;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тарифы на предоставляемые социальные услуги по формам социального обслуживания и видам социальных услуг;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 информация об общем количестве мест,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предназначенных для 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социальных услуг, о наличии</w:t>
      </w:r>
      <w:r>
        <w:rPr>
          <w:rFonts w:ascii="Times New Roman" w:hAnsi="Times New Roman" w:cs="Times New Roman"/>
          <w:sz w:val="28"/>
          <w:szCs w:val="28"/>
        </w:rPr>
        <w:t xml:space="preserve"> свободных мест, в том числе по </w:t>
      </w:r>
      <w:r>
        <w:rPr>
          <w:rFonts w:ascii="Times New Roman" w:hAnsi="Times New Roman" w:cs="Times New Roman"/>
          <w:sz w:val="28"/>
          <w:szCs w:val="28"/>
        </w:rPr>
        <w:t xml:space="preserve">формам социального обслуживания;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 информация об условиях предоставления социальных услуг;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 информация о результатах проведенных проверок;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 информация об опыте работы поставщика социальных услуг за последние пять лет.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 </w:t>
      </w:r>
      <w:r>
        <w:rPr>
          <w:rFonts w:ascii="Times New Roman" w:hAnsi="Times New Roman" w:cs="Times New Roman"/>
          <w:sz w:val="28"/>
          <w:szCs w:val="28"/>
        </w:rPr>
        <w:t xml:space="preserve">если поставщик социальных услуг яв</w:t>
      </w:r>
      <w:r>
        <w:rPr>
          <w:rFonts w:ascii="Times New Roman" w:hAnsi="Times New Roman" w:cs="Times New Roman"/>
          <w:sz w:val="28"/>
          <w:szCs w:val="28"/>
        </w:rPr>
        <w:t xml:space="preserve">ляется исполнителем услуг, им в 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дополнительно представляются следующие сведения: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предельный объем оказания государственной услуги в социальной сфере, заявленный поставщиком социальных услуг, я</w:t>
      </w:r>
      <w:r>
        <w:rPr>
          <w:rFonts w:ascii="Times New Roman" w:hAnsi="Times New Roman" w:cs="Times New Roman"/>
          <w:sz w:val="28"/>
          <w:szCs w:val="28"/>
        </w:rPr>
        <w:t xml:space="preserve">вляющимся исполнителем услуг, с </w:t>
      </w:r>
      <w:r>
        <w:rPr>
          <w:rFonts w:ascii="Times New Roman" w:hAnsi="Times New Roman" w:cs="Times New Roman"/>
          <w:sz w:val="28"/>
          <w:szCs w:val="28"/>
        </w:rPr>
        <w:t xml:space="preserve">указанием распределения такого объема по структурным подразделениям юридического лица (при наличии структурных подразделений);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) объем оказания государственной услуги в социальной сфере, в отношении которого поставщиком социальных услуг, являющимся исполнителем услуг, заключен договор с получателем социального сертификата в целях оказания государственной услуги в социальной сфере.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о включении в реестр прилагаются копии учредительных документов, заверенных в установленном законодательством Российской Федерации порядке: </w:t>
      </w:r>
      <w:r>
        <w:rPr>
          <w:rFonts w:ascii="Times New Roman" w:hAnsi="Times New Roman" w:cs="Times New Roman"/>
          <w:sz w:val="28"/>
          <w:szCs w:val="28"/>
        </w:rPr>
        <w:t xml:space="preserve">https://mtsr.nso.ru/page/3953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поставщиков социальных услуг размещен на сайте министерства труда и социального развития Новосибирской области: </w:t>
      </w:r>
      <w:hyperlink r:id="rId8" w:tooltip="http://mtsr.nso.ru/page/1382" w:history="1">
        <w:r>
          <w:rPr>
            <w:rStyle w:val="85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http://mtsr.nso.ru/page/1382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Стандарты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предоставляемые поставщиками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утверждены приказом министерства социального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от 23.12.2014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1446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Стандартов социальных услуг, предоставляемы</w:t>
      </w:r>
      <w:r>
        <w:rPr>
          <w:rFonts w:ascii="Times New Roman" w:hAnsi="Times New Roman" w:cs="Times New Roman"/>
          <w:sz w:val="28"/>
          <w:szCs w:val="28"/>
        </w:rPr>
        <w:t xml:space="preserve">х поставщиками социальных услуг»: </w:t>
      </w:r>
      <w:r>
        <w:rPr>
          <w:rFonts w:ascii="Times New Roman" w:hAnsi="Times New Roman" w:cs="Times New Roman"/>
          <w:sz w:val="28"/>
          <w:szCs w:val="28"/>
        </w:rPr>
        <w:t xml:space="preserve">https://mtsr.nso.ru/page/5593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Style w:val="851"/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Тарифы на социальные услуги в Новосибирской области установлены приказом департамента по тарифам Новосибирской области от 10.12.2024        № 342-ТС/НПА «Об установлении пре</w:t>
      </w:r>
      <w:r>
        <w:rPr>
          <w:rFonts w:ascii="Times New Roman" w:hAnsi="Times New Roman" w:cs="Times New Roman"/>
          <w:sz w:val="28"/>
          <w:szCs w:val="28"/>
        </w:rPr>
        <w:t xml:space="preserve">дельных максимальных тарифов на </w:t>
      </w:r>
      <w:r>
        <w:rPr>
          <w:rFonts w:ascii="Times New Roman" w:hAnsi="Times New Roman" w:cs="Times New Roman"/>
          <w:sz w:val="28"/>
          <w:szCs w:val="28"/>
        </w:rPr>
        <w:t xml:space="preserve">социальные услуги, предоставляемые поставщиками социальных услуг получателям социальных услуг на территории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о признании утратившими силу приказов департамента по тарифам Новосибирской области от 05.12.2023 № 415-ТС/НПА, от 02.04.2024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 71-ТС/НПА»: </w:t>
      </w:r>
      <w:r>
        <w:rPr>
          <w:rFonts w:ascii="Times New Roman" w:hAnsi="Times New Roman" w:cs="Times New Roman"/>
          <w:sz w:val="28"/>
          <w:szCs w:val="28"/>
        </w:rPr>
      </w:r>
      <w:hyperlink r:id="rId9" w:tooltip="https://mtsr.nso.ru/page/5589." w:history="1">
        <w:r>
          <w:rPr>
            <w:rStyle w:val="85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https://mtsr.nso.ru/page/5589</w:t>
        </w:r>
        <w:r>
          <w:rPr>
            <w:rStyle w:val="85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.</w:t>
        </w:r>
        <w:r>
          <w:rPr>
            <w:rStyle w:val="851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single"/>
          </w:rPr>
        </w:r>
        <w:r>
          <w:rPr>
            <w:rStyle w:val="851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highlight w:val="none"/>
            <w:u w:val="none"/>
          </w:rPr>
        </w:r>
      </w:hyperlink>
      <w:r>
        <w:rPr>
          <w:rStyle w:val="851"/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Style w:val="851"/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pPr>
      <w:r>
        <w:rPr>
          <w:rStyle w:val="851"/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  <w:r>
        <w:rPr>
          <w:rStyle w:val="851"/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09"/>
        <w:jc w:val="center"/>
        <w:spacing w:after="0" w:line="240" w:lineRule="auto"/>
        <w:rPr>
          <w:rStyle w:val="851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highlight w:val="none"/>
          <w:u w:val="none"/>
        </w:rPr>
      </w:pPr>
      <w:r>
        <w:rPr>
          <w:rStyle w:val="851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Предоставление компенсации за оказанные гражданам социальные услуги</w:t>
      </w:r>
      <w:r>
        <w:rPr>
          <w:rStyle w:val="851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highlight w:val="none"/>
          <w:u w:val="none"/>
        </w:rPr>
      </w:r>
      <w:r>
        <w:rPr>
          <w:rStyle w:val="851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Правительство Новосибирской области осуществляет поддержку социально ориентированных некоммерческих организаций в виде субсидий, грантов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компенсаций за оказанные социальные услуги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частности, министерством труда и соц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иального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предоставляется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компенсация организациям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включенным в реестр поставщиков социальных услуг в Новосибирской области, предоставляющим гражданам социальные услуги, но не участвующим в выполнении государственного задания (заказа), в соответствии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постановлением Правительства Новосибирской области от 09.02.2015 № 49-п «О размере и порядке выплаты компенсации поставщикам социальных услуг, предоставляющим гражданам социальные услуги, предусмотренные индивидуальной программой, включен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ным в реестр поставщиков социальных услуг в Новосибирской области, но не участвующим в выполнении государственного задания (заказа)».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лью предоставления компенсации является возмещение затрат поставщиков социальных услуг, связанных с предоставлением ими социальных услуг, предусмотренных индивидуальной программой предоставления социальных услуг, гражданам бесплатно или за частичную плату.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Компенсация выплачивается за счет средств областного бюджета Новосибирской области в форме субсидий.</w:t>
      </w:r>
      <w:r/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Отбор на предоставление компенсации осуществляется путем запроса предложений на основании заявок на участие в отборе и копий документов, направленных поставщиками социальных услуг, в электронной форме. </w:t>
      </w:r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Информация о субсидии размещается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информационно-телекоммуникационной сети «Интернет»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на едином портале бюджетной системы Российской Федерации  (http://budget.gov.ru) (в разделе единого портала), который является частью государств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енной интегрированной информационной системы управления общественными финансами «Электронный бюджет», а также на официальном сайте министерства труда и социального развития Новосибирской области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https://mtsr.nso.ru/page/14722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3"/>
    <w:uiPriority w:val="10"/>
    <w:rPr>
      <w:sz w:val="48"/>
      <w:szCs w:val="48"/>
    </w:rPr>
  </w:style>
  <w:style w:type="character" w:styleId="664">
    <w:name w:val="Subtitle Char"/>
    <w:basedOn w:val="681"/>
    <w:link w:val="695"/>
    <w:uiPriority w:val="11"/>
    <w:rPr>
      <w:sz w:val="24"/>
      <w:szCs w:val="24"/>
    </w:rPr>
  </w:style>
  <w:style w:type="character" w:styleId="665">
    <w:name w:val="Quote Char"/>
    <w:link w:val="697"/>
    <w:uiPriority w:val="29"/>
    <w:rPr>
      <w:i/>
    </w:rPr>
  </w:style>
  <w:style w:type="character" w:styleId="666">
    <w:name w:val="Intense Quote Char"/>
    <w:link w:val="699"/>
    <w:uiPriority w:val="30"/>
    <w:rPr>
      <w:i/>
    </w:rPr>
  </w:style>
  <w:style w:type="character" w:styleId="667">
    <w:name w:val="Header Char"/>
    <w:basedOn w:val="681"/>
    <w:link w:val="701"/>
    <w:uiPriority w:val="99"/>
  </w:style>
  <w:style w:type="character" w:styleId="668">
    <w:name w:val="Caption Char"/>
    <w:basedOn w:val="705"/>
    <w:link w:val="703"/>
    <w:uiPriority w:val="99"/>
  </w:style>
  <w:style w:type="character" w:styleId="669">
    <w:name w:val="Footnote Text Char"/>
    <w:link w:val="833"/>
    <w:uiPriority w:val="99"/>
    <w:rPr>
      <w:sz w:val="18"/>
    </w:rPr>
  </w:style>
  <w:style w:type="character" w:styleId="670">
    <w:name w:val="Endnote Text Char"/>
    <w:link w:val="836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671"/>
    <w:next w:val="671"/>
    <w:link w:val="694"/>
    <w:uiPriority w:val="10"/>
    <w:qFormat/>
    <w:pPr>
      <w:contextualSpacing/>
      <w:spacing w:before="300"/>
    </w:pPr>
    <w:rPr>
      <w:sz w:val="48"/>
      <w:szCs w:val="48"/>
    </w:rPr>
  </w:style>
  <w:style w:type="character" w:styleId="694" w:customStyle="1">
    <w:name w:val="Название Знак"/>
    <w:basedOn w:val="681"/>
    <w:link w:val="693"/>
    <w:uiPriority w:val="10"/>
    <w:rPr>
      <w:sz w:val="48"/>
      <w:szCs w:val="48"/>
    </w:rPr>
  </w:style>
  <w:style w:type="paragraph" w:styleId="695">
    <w:name w:val="Subtitle"/>
    <w:basedOn w:val="671"/>
    <w:next w:val="671"/>
    <w:link w:val="696"/>
    <w:uiPriority w:val="11"/>
    <w:qFormat/>
    <w:pPr>
      <w:spacing w:before="200"/>
    </w:pPr>
    <w:rPr>
      <w:sz w:val="24"/>
      <w:szCs w:val="24"/>
    </w:rPr>
  </w:style>
  <w:style w:type="character" w:styleId="696" w:customStyle="1">
    <w:name w:val="Подзаголовок Знак"/>
    <w:basedOn w:val="681"/>
    <w:link w:val="695"/>
    <w:uiPriority w:val="11"/>
    <w:rPr>
      <w:sz w:val="24"/>
      <w:szCs w:val="24"/>
    </w:rPr>
  </w:style>
  <w:style w:type="paragraph" w:styleId="697">
    <w:name w:val="Quote"/>
    <w:basedOn w:val="671"/>
    <w:next w:val="671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71"/>
    <w:next w:val="671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7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Верхний колонтитул Знак"/>
    <w:basedOn w:val="681"/>
    <w:link w:val="701"/>
    <w:uiPriority w:val="99"/>
  </w:style>
  <w:style w:type="paragraph" w:styleId="703">
    <w:name w:val="Footer"/>
    <w:basedOn w:val="67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basedOn w:val="681"/>
    <w:uiPriority w:val="99"/>
  </w:style>
  <w:style w:type="paragraph" w:styleId="705">
    <w:name w:val="Caption"/>
    <w:basedOn w:val="671"/>
    <w:next w:val="67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6" w:customStyle="1">
    <w:name w:val="Нижний колонтитул Знак"/>
    <w:link w:val="703"/>
    <w:uiPriority w:val="99"/>
  </w:style>
  <w:style w:type="table" w:styleId="707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7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8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9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0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1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2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1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2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3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4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5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0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1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2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3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4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5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1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2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3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4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5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6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8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9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0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1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2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3">
    <w:name w:val="footnote text"/>
    <w:basedOn w:val="671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 w:customStyle="1">
    <w:name w:val="Текст сноски Знак"/>
    <w:link w:val="833"/>
    <w:uiPriority w:val="99"/>
    <w:rPr>
      <w:sz w:val="18"/>
    </w:rPr>
  </w:style>
  <w:style w:type="character" w:styleId="835">
    <w:name w:val="footnote reference"/>
    <w:basedOn w:val="681"/>
    <w:uiPriority w:val="99"/>
    <w:unhideWhenUsed/>
    <w:rPr>
      <w:vertAlign w:val="superscript"/>
    </w:rPr>
  </w:style>
  <w:style w:type="paragraph" w:styleId="836">
    <w:name w:val="endnote text"/>
    <w:basedOn w:val="671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 w:customStyle="1">
    <w:name w:val="Текст концевой сноски Знак"/>
    <w:link w:val="836"/>
    <w:uiPriority w:val="99"/>
    <w:rPr>
      <w:sz w:val="20"/>
    </w:rPr>
  </w:style>
  <w:style w:type="character" w:styleId="838">
    <w:name w:val="endnote reference"/>
    <w:basedOn w:val="681"/>
    <w:uiPriority w:val="99"/>
    <w:semiHidden/>
    <w:unhideWhenUsed/>
    <w:rPr>
      <w:vertAlign w:val="superscript"/>
    </w:rPr>
  </w:style>
  <w:style w:type="paragraph" w:styleId="839">
    <w:name w:val="toc 1"/>
    <w:basedOn w:val="671"/>
    <w:next w:val="671"/>
    <w:uiPriority w:val="39"/>
    <w:unhideWhenUsed/>
    <w:pPr>
      <w:spacing w:after="57"/>
    </w:pPr>
  </w:style>
  <w:style w:type="paragraph" w:styleId="840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1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2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3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4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5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6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7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671"/>
    <w:next w:val="671"/>
    <w:uiPriority w:val="99"/>
    <w:unhideWhenUsed/>
    <w:pPr>
      <w:spacing w:after="0"/>
    </w:pPr>
  </w:style>
  <w:style w:type="paragraph" w:styleId="850">
    <w:name w:val="List Paragraph"/>
    <w:basedOn w:val="671"/>
    <w:uiPriority w:val="34"/>
    <w:qFormat/>
    <w:pPr>
      <w:contextualSpacing/>
      <w:ind w:left="720"/>
    </w:pPr>
  </w:style>
  <w:style w:type="character" w:styleId="851">
    <w:name w:val="Hyperlink"/>
    <w:basedOn w:val="681"/>
    <w:uiPriority w:val="99"/>
    <w:unhideWhenUsed/>
    <w:rPr>
      <w:color w:val="0000ff" w:themeColor="hyperlink"/>
      <w:u w:val="single"/>
    </w:rPr>
  </w:style>
  <w:style w:type="paragraph" w:styleId="852">
    <w:name w:val="Balloon Text"/>
    <w:basedOn w:val="671"/>
    <w:link w:val="85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3" w:customStyle="1">
    <w:name w:val="Текст выноски Знак"/>
    <w:basedOn w:val="681"/>
    <w:link w:val="852"/>
    <w:uiPriority w:val="99"/>
    <w:semiHidden/>
    <w:rPr>
      <w:rFonts w:ascii="Tahoma" w:hAnsi="Tahoma" w:cs="Tahoma"/>
      <w:sz w:val="16"/>
      <w:szCs w:val="16"/>
    </w:rPr>
  </w:style>
  <w:style w:type="paragraph" w:styleId="854">
    <w:name w:val="No Spacing"/>
    <w:uiPriority w:val="1"/>
    <w:qFormat/>
    <w:pPr>
      <w:spacing w:after="0" w:line="240" w:lineRule="auto"/>
    </w:pPr>
  </w:style>
  <w:style w:type="paragraph" w:styleId="855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mtsr.nso.ru/page/1382" TargetMode="External"/><Relationship Id="rId9" Type="http://schemas.openxmlformats.org/officeDocument/2006/relationships/hyperlink" Target="https://mtsr.nso.ru/page/5589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Москалева Екатерина Михайловна</dc:creator>
  <cp:revision>5</cp:revision>
  <dcterms:created xsi:type="dcterms:W3CDTF">2025-03-20T03:00:00Z</dcterms:created>
  <dcterms:modified xsi:type="dcterms:W3CDTF">2025-03-20T09:26:43Z</dcterms:modified>
</cp:coreProperties>
</file>