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ЗДВИНСКИЙ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Колотов Михаил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63 21 278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Мира,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Егорова Ольга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21 352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Мира,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Здвинского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Горобцов Юрий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21 881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К. Маркса,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Здвинского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Завгородина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22 138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М. Горького,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Абаимова Елена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Калинина, 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Тартынских Светлана Захаровна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21 538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Калинина, 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Фурцева Нина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21 483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Мира, 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Здвинского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Шевченко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63 21 838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Здвинск,</w:t>
              <w:br/>
              <w:t xml:space="preserve">ул. М. Горького,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(18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6 домов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328,14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2 861,73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2024-10-14T04:17:57Z</dcterms:modified>
</cp:coreProperties>
</file>