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Style w:val="686"/>
        <w:tblW w:w="0" w:type="auto"/>
        <w:tblLayout w:type="fixed"/>
        <w:tblLook w:val="04A0" w:firstRow="1" w:lastRow="0" w:firstColumn="1" w:lastColumn="0" w:noHBand="0" w:noVBand="1"/>
      </w:tblPr>
      <w:tblGrid>
        <w:gridCol w:w="242"/>
        <w:gridCol w:w="242"/>
        <w:gridCol w:w="242"/>
        <w:gridCol w:w="238"/>
        <w:gridCol w:w="246"/>
        <w:gridCol w:w="242"/>
        <w:gridCol w:w="242"/>
        <w:gridCol w:w="242"/>
        <w:gridCol w:w="242"/>
        <w:gridCol w:w="291"/>
        <w:gridCol w:w="242"/>
        <w:gridCol w:w="325"/>
        <w:gridCol w:w="242"/>
        <w:gridCol w:w="291"/>
        <w:gridCol w:w="242"/>
        <w:gridCol w:w="242"/>
        <w:gridCol w:w="242"/>
        <w:gridCol w:w="242"/>
        <w:gridCol w:w="242"/>
        <w:gridCol w:w="350"/>
      </w:tblGrid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textDirection w:val="lrTb"/>
            <w:noWrap w:val="false"/>
          </w:tcPr>
          <w:p>
            <w:pPr>
              <w:jc w:val="left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13. Адресная помощь гражданам, обратившимся в комплексный центр социального обслуживания населения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Вид оказанной помощи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26" w:type="dxa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на 31.12.2023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1" w:type="dxa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на 31.12.2024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726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кол-во чел.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сумма, 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тыс. руб.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кол-во чел.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сумма, 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тыс. руб.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Продуктовые наборы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81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0,48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  <w:t xml:space="preserve">4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2,38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Горячее питание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Вещевая помощь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Соц.помощь на платное лечение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Оплата проезда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Другие денежные средства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Итого оказано экономической помощи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81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0,48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4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2,38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14. Детское оздоровления (ДОЛ, СОЛ)</w:t>
              <w:br/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highlight w:val="none"/>
              </w:rPr>
              <w:t xml:space="preserve">на 31.03.2025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highlight w:val="none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Наименование категории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Всего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Круглого-дичные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Летние*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1. Общее количество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2. Коечная мощность (вместимость в 1 смену)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380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240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140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3. Количество смен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4. Количество оздоровленных детей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260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260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20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 xml:space="preserve">*в т.ч. 1 палаточный лагерь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11" w:type="dxa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Наименование категории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8" w:type="dxa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Количество (чел.)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>
          <w:trHeight w:val="651"/>
        </w:trPr>
        <w:tc>
          <w:tcPr>
            <w:gridSpan w:val="11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71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Количество детей в районе, охваченных всеми формами отдыха, оздоровления и занятости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1342" w:type="dxa"/>
            <w:vAlign w:val="center"/>
            <w:textDirection w:val="lrTb"/>
            <w:noWrap w:val="false"/>
          </w:tcPr>
          <w:p>
            <w:pPr>
              <w:jc w:val="right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Оздоровление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</w:p>
          <w:p>
            <w:pPr>
              <w:jc w:val="right"/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Занятость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Align w:val="center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</w:p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-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834" w:type="dxa"/>
            <w:vAlign w:val="center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250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</w:p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2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15. Информация о мерах социальной поддержки граждан</w:t>
              <w:br/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highlight w:val="none"/>
              </w:rPr>
              <w:t xml:space="preserve">на 31.03.2025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highlight w:val="none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69" w:type="dxa"/>
            <w:vAlign w:val="center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Количество граждан, получивших меры социальной поддержки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0" w:type="dxa"/>
            <w:vAlign w:val="center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Всего произведено назначений мер</w:t>
              <w:br/>
              <w:t xml:space="preserve">социальной поддержки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6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9 876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12 639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16. Сведения о численности детей, оставшихся без попечения родителей, на 31.03.2025 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Наименовании позиции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  <w:t xml:space="preserve">Всего детей (чел.)</w:t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3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Общая численность детей, оставшихся без попечения родителей, из них: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114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5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детей, оставшихся без попечения родителей, находящихся под надзором в организация для детей-сирот и детей, оставшихся без попечения родителей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5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детей, оставшихся без попечения родителей, находящихся на воспитании в семьях (в т.ч. переданных под предварительную опеку)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114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5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детей, оставшихся без попечения родителей, обучающихся в учреждениях начального, среднего и высшего профессионального образования и находящихся на полном государственном обеспечении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3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Всего выявлено и учтено детей, оставшихся без попечения родителей за 2025 год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3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Число приемных семей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5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 них детей (без учета родных детей)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71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3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Число семей-опекунов (попечителей)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29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  <w:tc>
          <w:tcPr>
            <w:gridSpan w:val="15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 них детей (без учета родных детей)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43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3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детей, которых усыновили российские граждане и которые состоят на учете в отделе опеки и попечительства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14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3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Число выявленных случаев жестокого обращения с детьми-сиротами и детьми, оставшимися без попечения родителей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3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усыновителей (опекунов, попечителей, приемных родителей), привлеченных к уголовной ответственности за совершение преступлений в отношении детей, принятых ими на воспитанию в семью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3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детей, здоровью которых был причинен вред по вине усыновителей (опекунов, попечителей, приемных родителей)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3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детей, оставшихся без попечения родителей, и лиц из их числа, включая лиц в возрасте от 23 лет и старше, состоящих на учете в качестве нуждающихся в предоставлении жилого помещения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83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3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детей, оставшихся без попечения родителей, и лиц из их числа, включая лиц в возрасте от 23 лет и старше, обеспеченных жилыми помещениями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 xml:space="preserve">МИНИСТЕРСТВО ТРУДА И СОЦИАЛЬНОГО РАЗВИТИЯ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highlight w:val="none"/>
              </w:rPr>
            </w:r>
          </w:p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highlight w:val="none"/>
              </w:rPr>
              <w:t xml:space="preserve">НОВОСИБИРСКОЙ ОБЛАСТИ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СУЗУНСКИЙ РАЙОН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7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  <w:t xml:space="preserve">Глава Сузунского района</w:t>
              <w:br/>
            </w:r>
            <w:r>
              <w:rPr>
                <w:rFonts w:ascii="Times New Roman" w:hAnsi="Times New Roman" w:eastAsia="Times New Roman" w:cs="Times New Roman"/>
                <w:sz w:val="14"/>
                <w:szCs w:val="14"/>
                <w:highlight w:val="none"/>
              </w:rPr>
              <w:t xml:space="preserve">Горшков Вячеслав Васильевич</w:t>
              <w:br/>
            </w:r>
            <w:r>
              <w:rPr>
                <w:rFonts w:ascii="Times New Roman" w:hAnsi="Times New Roman" w:eastAsia="Times New Roman" w:cs="Times New Roman"/>
                <w:sz w:val="14"/>
                <w:szCs w:val="14"/>
                <w:highlight w:val="none"/>
              </w:rPr>
              <w:t xml:space="preserve">тел. 8 (383) 46 22 207</w:t>
              <w:br/>
            </w:r>
            <w:r>
              <w:rPr>
                <w:rFonts w:ascii="Times New Roman" w:hAnsi="Times New Roman" w:eastAsia="Times New Roman" w:cs="Times New Roman"/>
                <w:sz w:val="14"/>
                <w:szCs w:val="14"/>
                <w:highlight w:val="none"/>
              </w:rPr>
              <w:t xml:space="preserve">тел.приёмной 8 (383) 46 22 550</w:t>
            </w:r>
            <w:r>
              <w:rPr>
                <w:rFonts w:ascii="Times New Roman" w:hAnsi="Times New Roman" w:eastAsia="Times New Roman" w:cs="Times New Roman"/>
                <w:sz w:val="14"/>
                <w:szCs w:val="1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  <w:highlight w:val="none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  <w:t xml:space="preserve">р.п. Сузун,</w:t>
              <w:br/>
              <w:t xml:space="preserve">ул. Ленина, 51</w:t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7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  <w:t xml:space="preserve">Первый заместитель главы администрации,</w:t>
              <w:br/>
              <w:t xml:space="preserve">в т.ч. по социальным вопросам</w:t>
              <w:br/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4"/>
                <w:szCs w:val="14"/>
              </w:rPr>
              <w:t xml:space="preserve">Маслова Виктория Сергеевна</w:t>
            </w:r>
            <w:r>
              <w:rPr>
                <w:rFonts w:ascii="Times New Roman" w:hAnsi="Times New Roman" w:eastAsia="Times New Roman" w:cs="Times New Roman"/>
                <w:sz w:val="14"/>
                <w:szCs w:val="14"/>
                <w:highlight w:val="none"/>
              </w:rPr>
              <w:br/>
            </w:r>
            <w:r>
              <w:rPr>
                <w:rFonts w:ascii="Times New Roman" w:hAnsi="Times New Roman" w:eastAsia="Times New Roman" w:cs="Times New Roman"/>
                <w:sz w:val="14"/>
                <w:szCs w:val="14"/>
                <w:highlight w:val="none"/>
              </w:rPr>
              <w:t xml:space="preserve">тел. 8 (383) 46 21 794</w:t>
            </w:r>
            <w:r>
              <w:rPr>
                <w:rFonts w:ascii="Times New Roman" w:hAnsi="Times New Roman" w:eastAsia="Times New Roman" w:cs="Times New Roman"/>
                <w:sz w:val="14"/>
                <w:szCs w:val="1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  <w:highlight w:val="none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  <w:t xml:space="preserve">р.п. Сузун,</w:t>
              <w:br/>
              <w:t xml:space="preserve">ул. Ленина, 51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7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  <w:highlight w:val="none"/>
              </w:rPr>
              <w:t xml:space="preserve">ГКУ НСО «Центр занятости населения Сузунского района»</w:t>
              <w:br/>
            </w:r>
            <w:r>
              <w:rPr>
                <w:rFonts w:ascii="Times New Roman" w:hAnsi="Times New Roman" w:eastAsia="Times New Roman" w:cs="Times New Roman"/>
                <w:sz w:val="14"/>
                <w:szCs w:val="14"/>
                <w:highlight w:val="none"/>
              </w:rPr>
              <w:t xml:space="preserve">Олейникова Анна Александровна</w:t>
              <w:br/>
            </w:r>
            <w:r>
              <w:rPr>
                <w:rFonts w:ascii="Times New Roman" w:hAnsi="Times New Roman" w:eastAsia="Times New Roman" w:cs="Times New Roman"/>
                <w:sz w:val="14"/>
                <w:szCs w:val="14"/>
                <w:highlight w:val="none"/>
              </w:rPr>
              <w:t xml:space="preserve">тел. 8 (383) 46 21 854</w:t>
            </w:r>
            <w:r>
              <w:rPr>
                <w:rFonts w:ascii="Times New Roman" w:hAnsi="Times New Roman" w:eastAsia="Times New Roman" w:cs="Times New Roman"/>
                <w:sz w:val="14"/>
                <w:szCs w:val="1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  <w:highlight w:val="none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  <w:t xml:space="preserve">р.п. Сузун,</w:t>
              <w:br/>
              <w:t xml:space="preserve">ул. Ленина, 36 а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7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  <w:t xml:space="preserve">ГКУ НСО «Центр социальной поддержки населения Сузунского района»</w:t>
              <w:br/>
            </w:r>
            <w:r>
              <w:rPr>
                <w:rFonts w:ascii="Times New Roman" w:hAnsi="Times New Roman" w:eastAsia="Times New Roman" w:cs="Times New Roman"/>
                <w:sz w:val="14"/>
                <w:szCs w:val="14"/>
                <w:highlight w:val="none"/>
              </w:rPr>
              <w:t xml:space="preserve">Квашнина Татьяна Юрьевна</w:t>
              <w:br/>
            </w:r>
            <w:r>
              <w:rPr>
                <w:rFonts w:ascii="Times New Roman" w:hAnsi="Times New Roman" w:eastAsia="Times New Roman" w:cs="Times New Roman"/>
                <w:sz w:val="14"/>
                <w:szCs w:val="14"/>
                <w:highlight w:val="none"/>
              </w:rPr>
              <w:t xml:space="preserve">тел. 8 (383) 46 22 421</w:t>
            </w:r>
            <w:r>
              <w:rPr>
                <w:rFonts w:ascii="Times New Roman" w:hAnsi="Times New Roman" w:eastAsia="Times New Roman" w:cs="Times New Roman"/>
                <w:sz w:val="14"/>
                <w:szCs w:val="1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  <w:highlight w:val="none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  <w:t xml:space="preserve">р.п. Сузун,</w:t>
              <w:br/>
              <w:t xml:space="preserve">ул. Коммунистическая, 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7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  <w:t xml:space="preserve">Отдел социального обслуживания населения администрации </w:t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  <w:t xml:space="preserve">Сузунского района</w:t>
              <w:br/>
            </w:r>
            <w:r>
              <w:rPr>
                <w:rFonts w:ascii="Times New Roman" w:hAnsi="Times New Roman" w:eastAsia="Times New Roman" w:cs="Times New Roman"/>
                <w:sz w:val="14"/>
                <w:szCs w:val="14"/>
                <w:highlight w:val="none"/>
              </w:rPr>
              <w:t xml:space="preserve">Светова Ирина Николаевна</w:t>
              <w:br/>
            </w:r>
            <w:r>
              <w:rPr>
                <w:rFonts w:ascii="Times New Roman" w:hAnsi="Times New Roman" w:eastAsia="Times New Roman" w:cs="Times New Roman"/>
                <w:sz w:val="14"/>
                <w:szCs w:val="14"/>
                <w:highlight w:val="none"/>
              </w:rPr>
              <w:t xml:space="preserve">тел. 8 (383) 46 22 736</w:t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  <w:t xml:space="preserve">р.п. Сузун,</w:t>
              <w:br/>
              <w:t xml:space="preserve">ул. Советская, 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7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  <w:t xml:space="preserve">Начальник отдела опеки и попечительства администрации Сузунского района</w:t>
              <w:br/>
            </w:r>
            <w:r>
              <w:rPr>
                <w:rFonts w:ascii="Times New Roman" w:hAnsi="Times New Roman" w:eastAsia="Times New Roman" w:cs="Times New Roman"/>
                <w:sz w:val="14"/>
                <w:szCs w:val="14"/>
                <w:highlight w:val="none"/>
              </w:rPr>
              <w:t xml:space="preserve">Арсенова Людмила Андреевна</w:t>
              <w:br/>
            </w:r>
            <w:r>
              <w:rPr>
                <w:rFonts w:ascii="Times New Roman" w:hAnsi="Times New Roman" w:eastAsia="Times New Roman" w:cs="Times New Roman"/>
                <w:sz w:val="14"/>
                <w:szCs w:val="14"/>
                <w:highlight w:val="none"/>
              </w:rPr>
              <w:t xml:space="preserve">тел. 8 (383) 46 22 496</w:t>
            </w:r>
            <w:r>
              <w:rPr>
                <w:rFonts w:ascii="Times New Roman" w:hAnsi="Times New Roman" w:eastAsia="Times New Roman" w:cs="Times New Roman"/>
                <w:sz w:val="14"/>
                <w:szCs w:val="1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  <w:highlight w:val="none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  <w:t xml:space="preserve">р.п. Сузун,</w:t>
              <w:br/>
              <w:t xml:space="preserve">ул. Горького, 80 а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7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  <w:t xml:space="preserve">Ответственный секретарь КДН и ЗП</w:t>
              <w:br/>
            </w:r>
            <w:r>
              <w:rPr>
                <w:rFonts w:ascii="Times New Roman" w:hAnsi="Times New Roman" w:eastAsia="Times New Roman" w:cs="Times New Roman"/>
                <w:sz w:val="14"/>
                <w:szCs w:val="14"/>
                <w:highlight w:val="none"/>
              </w:rPr>
              <w:t xml:space="preserve">Эрмиш Елена Арновна</w:t>
              <w:br/>
            </w:r>
            <w:r>
              <w:rPr>
                <w:rFonts w:ascii="Times New Roman" w:hAnsi="Times New Roman" w:eastAsia="Times New Roman" w:cs="Times New Roman"/>
                <w:sz w:val="14"/>
                <w:szCs w:val="14"/>
                <w:highlight w:val="none"/>
              </w:rPr>
              <w:t xml:space="preserve">тел. 8 (383) 46 22 998</w:t>
            </w:r>
            <w:r>
              <w:rPr>
                <w:rFonts w:ascii="Times New Roman" w:hAnsi="Times New Roman" w:eastAsia="Times New Roman" w:cs="Times New Roman"/>
                <w:sz w:val="14"/>
                <w:szCs w:val="1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  <w:highlight w:val="none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  <w:t xml:space="preserve">р.п. Сузун,</w:t>
              <w:br/>
              <w:t xml:space="preserve">ул. Горького, 80 а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7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  <w:t xml:space="preserve">МКУ Сузунского района «Комплексный центр социального обслуживания населения»</w:t>
              <w:br/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4"/>
                <w:szCs w:val="14"/>
              </w:rPr>
              <w:t xml:space="preserve">Исаевич Ольга Леонидовна</w:t>
            </w:r>
            <w:r>
              <w:rPr>
                <w:rFonts w:ascii="Times New Roman" w:hAnsi="Times New Roman" w:eastAsia="Times New Roman" w:cs="Times New Roman"/>
                <w:sz w:val="14"/>
                <w:szCs w:val="14"/>
                <w:highlight w:val="none"/>
              </w:rPr>
              <w:br/>
            </w:r>
            <w:r>
              <w:rPr>
                <w:rFonts w:ascii="Times New Roman" w:hAnsi="Times New Roman" w:eastAsia="Times New Roman" w:cs="Times New Roman"/>
                <w:sz w:val="14"/>
                <w:szCs w:val="14"/>
                <w:highlight w:val="none"/>
              </w:rPr>
              <w:t xml:space="preserve">тел. 8 (383) 46 29 056</w:t>
            </w:r>
            <w:r>
              <w:rPr>
                <w:rFonts w:ascii="Times New Roman" w:hAnsi="Times New Roman" w:eastAsia="Times New Roman" w:cs="Times New Roman"/>
                <w:sz w:val="14"/>
                <w:szCs w:val="1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  <w:highlight w:val="none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  <w:t xml:space="preserve">р.п. Сузун,</w:t>
              <w:br/>
              <w:t xml:space="preserve">ул. Советская, 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7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  <w:t xml:space="preserve">МБУ ССО Сузунского района </w:t>
              <w:br/>
              <w:t xml:space="preserve">«Дом милосердия»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4"/>
                <w:szCs w:val="14"/>
              </w:rPr>
              <w:t xml:space="preserve">(45 мест)</w:t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  <w:br/>
            </w:r>
            <w:r>
              <w:rPr>
                <w:rFonts w:ascii="Times New Roman" w:hAnsi="Times New Roman" w:eastAsia="Times New Roman" w:cs="Times New Roman"/>
                <w:sz w:val="14"/>
                <w:szCs w:val="14"/>
                <w:highlight w:val="none"/>
              </w:rPr>
              <w:t xml:space="preserve">Кокунова Ирина Витальевна</w:t>
              <w:br/>
            </w:r>
            <w:r>
              <w:rPr>
                <w:rFonts w:ascii="Times New Roman" w:hAnsi="Times New Roman" w:eastAsia="Times New Roman" w:cs="Times New Roman"/>
                <w:sz w:val="14"/>
                <w:szCs w:val="14"/>
                <w:highlight w:val="none"/>
              </w:rPr>
              <w:t xml:space="preserve">тел. 8 (383) 46 21 443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  <w:t xml:space="preserve">р.п. Сузун,</w:t>
              <w:br/>
              <w:t xml:space="preserve">ул. Калинина, 100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  <w:t xml:space="preserve">Отделение социально-консультативной помощи</w:t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  <w:t xml:space="preserve">Отделение профилактики безнадзорности детей и подростков</w:t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 w:val="0"/>
                <w:bCs w:val="0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  <w:t xml:space="preserve">Отделение дневного пребывания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4"/>
                <w:szCs w:val="14"/>
              </w:rPr>
              <w:t xml:space="preserve">(для взрослых)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 w:val="0"/>
                <w:bCs w:val="0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  <w:t xml:space="preserve">Отделение социальной реабилитации инвалидов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4"/>
                <w:szCs w:val="14"/>
              </w:rPr>
              <w:t xml:space="preserve">(для детей)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  <w:t xml:space="preserve">2 отделения социального обслуживания на дому</w:t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1. Основные показатели, характеризующие демографическую структуру района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1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6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Численность постоянного населения района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человек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6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на 01.01.2025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30 643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6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на 01.01.2024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31 042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из них: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мужчин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14 680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женщин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16 362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граждане моложе трудоспособного возраста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6 212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граждане трудоспособного возраста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17 041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граждане старше трудоспособного возраста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7 789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2. Численность граждан, состоящих на учете в органах социальной защиты и официально подтвердивших свой низкий доход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Наименование категории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2021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2022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2023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2024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Семей (шт.)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873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780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1 042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870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Детей (чел.)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1 283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1 390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1 579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1 454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Взрослых (чел.)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1 298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1 353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1 953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1 933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Пенсионеров (чел.)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18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30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Всего граждан (чел.)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2 559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2 758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3 662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3 420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Доля малообеспеченного населения от общей численности постоянного населения района (%)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8,28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8,91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11,69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11,02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3. Семьи с детьми, состоящие на учете в комплексном центре социального обслуживания населения, за 1 квартал 2025 года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3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Наименование категории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кол-во семей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в них детей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Всего семей с детьми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98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232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1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2794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из них: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1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794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многодетные семьи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134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1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794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неполные семьи с 1-2 детьми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Семьи, испытывающие трудности в социальной адаптации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42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104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1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794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 т.ч. семьи, находящие в социально-опасном положении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Семьи, воспитывающие детей-инвалидов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40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93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1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794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 т.ч. детей-инвалидов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41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1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794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из них: семьи с родителями-инвалидами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1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794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 т.ч. детей-инвалидов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4. Численность граждан с инвалидностью, обратившихся в органы социальной защиты, на 31.03.2025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6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Наименование категории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человек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6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Всего граждан с инвалидностью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2 272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3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33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из них: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3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3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граждане с 1 группой инвалидности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181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3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3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граждане со 2 группой инвалидности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641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3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3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граждане с 3 группой инвалидности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1 303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3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3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дети-инвалиды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147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5. Численность пенсионеров, состоящих на учете в органах социальной защиты и официально подтвердивших свой низкий доход на 31.12.2024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6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Наименование категории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кол-во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6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Одинокие пенсионеры (чел.)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6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Семьи пенсионеров по старости </w:t>
              <w:br/>
              <w:t xml:space="preserve">(семей / в них человек)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6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Пенсионеры, проживающие в семьях (чел.)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6. Социальное обслуживание на дому граждан пожилого возраста и граждан с инвалидностью на 31.03.2025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>
          <w:trHeight w:val="303"/>
        </w:trPr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Число отделений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7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число граждан, обслуженных по ИППСУ (чел.)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spacing w:before="6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из них: обслуженных сверх ИППСУ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Сумма платных услуг, тыс.руб.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2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spacing w:before="6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кол-во граждан, нужд. в соц.обслуж.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>
          <w:trHeight w:val="1134"/>
        </w:trPr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8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всего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без оплаты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spacing w:before="6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с частичной оплатой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spacing w:before="6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с полной оплатой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2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Надом.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256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112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140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231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353,33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Спец.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7. Стационарное обслуживание граждан пожилого возраста</w:t>
              <w:br/>
              <w:t xml:space="preserve">на 31.03.2025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>
          <w:trHeight w:val="217"/>
        </w:trPr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1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  <w:t xml:space="preserve">Отделение / дом милосердия</w:t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  <w:t xml:space="preserve">кол-во мест</w:t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  <w:t xml:space="preserve">число обслуженных граждан (чел.)</w:t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  <w:t xml:space="preserve">удержанная часть денежных средств, тыс.руб.</w:t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  <w:t xml:space="preserve">кол-во нужд. (чел.)</w:t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1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45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45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1 831,26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4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8. Информация о пенсионерах, проживающих в приемных семьях на 31.03.2025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6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Число приемных семей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Число пенсионеров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6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9. Волонтерское движение </w:t>
              <w:br/>
              <w:t xml:space="preserve">на 31.03.2025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6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Число волонтеров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Число обслуживаемых граждан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6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10. Численность работников учреждений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Категория учреждения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человек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6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Центр социальной поддержки населения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42" w:type="dxa"/>
            <w:vAlign w:val="bottom"/>
            <w:vMerge w:val="restart"/>
            <w:textDirection w:val="lrTb"/>
            <w:noWrap w:val="false"/>
          </w:tcPr>
          <w:p>
            <w:pPr>
              <w:jc w:val="right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на 31.03.2025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14:ligatures w14:val="none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bottom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6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Отдел социального обслуживания населения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42" w:type="dxa"/>
            <w:vAlign w:val="bottom"/>
            <w:vMerge w:val="restart"/>
            <w:textDirection w:val="lrTb"/>
            <w:noWrap w:val="false"/>
          </w:tcPr>
          <w:p>
            <w:pPr>
              <w:jc w:val="right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на 31.03.2025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bottom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246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Комплексный центр: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1342" w:type="dxa"/>
            <w:vAlign w:val="bottom"/>
            <w:vMerge w:val="restart"/>
            <w:textDirection w:val="lrTb"/>
            <w:noWrap w:val="false"/>
          </w:tcPr>
          <w:p>
            <w:pPr>
              <w:jc w:val="right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на 31.03.2025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318" w:type="dxa"/>
            <w:vAlign w:val="bottom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9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2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штатная численность /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bottom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87,00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9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2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фактическая численность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bottom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88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</w:tbl>
    <w:tbl>
      <w:tblPr>
        <w:tblStyle w:val="686"/>
        <w:tblW w:w="0" w:type="auto"/>
        <w:tblLayout w:type="fixed"/>
        <w:tblLook w:val="04A0" w:firstRow="1" w:lastRow="0" w:firstColumn="1" w:lastColumn="0" w:noHBand="0" w:noVBand="1"/>
      </w:tblPr>
      <w:tblGrid>
        <w:gridCol w:w="242"/>
        <w:gridCol w:w="242"/>
        <w:gridCol w:w="242"/>
        <w:gridCol w:w="238"/>
        <w:gridCol w:w="246"/>
        <w:gridCol w:w="242"/>
        <w:gridCol w:w="242"/>
        <w:gridCol w:w="242"/>
        <w:gridCol w:w="242"/>
        <w:gridCol w:w="291"/>
        <w:gridCol w:w="242"/>
        <w:gridCol w:w="325"/>
        <w:gridCol w:w="242"/>
        <w:gridCol w:w="291"/>
        <w:gridCol w:w="242"/>
        <w:gridCol w:w="242"/>
        <w:gridCol w:w="242"/>
        <w:gridCol w:w="242"/>
        <w:gridCol w:w="242"/>
        <w:gridCol w:w="350"/>
      </w:tblGrid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11. Показатели рынка труда 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на 31.03.2025 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безработных</w:t>
              <w:br/>
              <w:t xml:space="preserve">(за период с начала года), человек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104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Количество вакансий</w:t>
              <w:br/>
              <w:t xml:space="preserve">(за период с начала года), единиц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477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Уровень безработицы, %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0,6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Коэффициент напряженности</w:t>
              <w:br/>
              <w:t xml:space="preserve">(количество занятых граждан на одну вакансию)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0,3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Трудоустроено граждан, чел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112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Временно трудоустроено несовершеннолетних, чел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Организовали собственное дело, чел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20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по данным центра занятости населения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12. Показатели среднемесячной номинальной начисленной заработной платы, за январь 2025 года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Среднеобластной показатель заработной платы, руб.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80 909,5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С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реднемесячная номинальная начисленная заработная плата района, руб.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53 067,9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Темп роста (снижения), 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% к январю 2024 года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118,0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 соотношении со среднеобластным показателем, %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61,1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Место района по среднемесячной заработной платы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30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Место района по темпу роста среднемесячной заработной платы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</w:tbl>
    <w:p>
      <w:pPr>
        <w:spacing w:before="23" w:beforeAutospacing="0" w:after="23" w:afterAutospacing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eastAsia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</w:p>
    <w:sectPr>
      <w:footnotePr/>
      <w:endnotePr/>
      <w:type w:val="nextPage"/>
      <w:pgSz w:w="16838" w:h="11906" w:orient="landscape"/>
      <w:pgMar w:top="454" w:right="340" w:bottom="454" w:left="340" w:header="709" w:footer="709" w:gutter="0"/>
      <w:cols w:num="3" w:sep="0" w:space="34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0"/>
    <w:next w:val="830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0"/>
    <w:next w:val="830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0"/>
    <w:next w:val="830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0"/>
    <w:next w:val="830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0"/>
    <w:next w:val="830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0"/>
    <w:next w:val="830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0"/>
    <w:next w:val="830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0"/>
    <w:next w:val="830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0"/>
    <w:next w:val="830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Title"/>
    <w:basedOn w:val="830"/>
    <w:next w:val="830"/>
    <w:link w:val="67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3">
    <w:name w:val="Title Char"/>
    <w:link w:val="672"/>
    <w:uiPriority w:val="10"/>
    <w:rPr>
      <w:sz w:val="48"/>
      <w:szCs w:val="48"/>
    </w:rPr>
  </w:style>
  <w:style w:type="paragraph" w:styleId="674">
    <w:name w:val="Subtitle"/>
    <w:basedOn w:val="830"/>
    <w:next w:val="830"/>
    <w:link w:val="675"/>
    <w:uiPriority w:val="11"/>
    <w:qFormat/>
    <w:pPr>
      <w:spacing w:before="200" w:after="200"/>
    </w:pPr>
    <w:rPr>
      <w:sz w:val="24"/>
      <w:szCs w:val="24"/>
    </w:rPr>
  </w:style>
  <w:style w:type="character" w:styleId="675">
    <w:name w:val="Subtitle Char"/>
    <w:link w:val="674"/>
    <w:uiPriority w:val="11"/>
    <w:rPr>
      <w:sz w:val="24"/>
      <w:szCs w:val="24"/>
    </w:rPr>
  </w:style>
  <w:style w:type="paragraph" w:styleId="676">
    <w:name w:val="Quote"/>
    <w:basedOn w:val="830"/>
    <w:next w:val="830"/>
    <w:link w:val="677"/>
    <w:uiPriority w:val="29"/>
    <w:qFormat/>
    <w:pPr>
      <w:ind w:left="720" w:right="720"/>
    </w:pPr>
    <w:rPr>
      <w:i/>
    </w:rPr>
  </w:style>
  <w:style w:type="character" w:styleId="677">
    <w:name w:val="Quote Char"/>
    <w:link w:val="676"/>
    <w:uiPriority w:val="29"/>
    <w:rPr>
      <w:i/>
    </w:rPr>
  </w:style>
  <w:style w:type="paragraph" w:styleId="678">
    <w:name w:val="Intense Quote"/>
    <w:basedOn w:val="830"/>
    <w:next w:val="830"/>
    <w:link w:val="67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79">
    <w:name w:val="Intense Quote Char"/>
    <w:link w:val="678"/>
    <w:uiPriority w:val="30"/>
    <w:rPr>
      <w:i/>
    </w:rPr>
  </w:style>
  <w:style w:type="paragraph" w:styleId="680">
    <w:name w:val="Header"/>
    <w:basedOn w:val="830"/>
    <w:link w:val="68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1">
    <w:name w:val="Header Char"/>
    <w:link w:val="680"/>
    <w:uiPriority w:val="99"/>
  </w:style>
  <w:style w:type="paragraph" w:styleId="682">
    <w:name w:val="Footer"/>
    <w:basedOn w:val="830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Footer Char"/>
    <w:link w:val="682"/>
    <w:uiPriority w:val="99"/>
  </w:style>
  <w:style w:type="paragraph" w:styleId="684">
    <w:name w:val="Caption"/>
    <w:basedOn w:val="830"/>
    <w:next w:val="830"/>
    <w:link w:val="68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5">
    <w:name w:val="Caption Char"/>
    <w:basedOn w:val="684"/>
    <w:link w:val="682"/>
    <w:uiPriority w:val="99"/>
  </w:style>
  <w:style w:type="table" w:styleId="686">
    <w:name w:val="Table Grid"/>
    <w:basedOn w:val="83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7">
    <w:name w:val="Table Grid Light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Plain Table 1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9">
    <w:name w:val="Plain Table 2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1">
    <w:name w:val="Plain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Plain Table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3">
    <w:name w:val="Grid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5">
    <w:name w:val="Grid Table 4 - Accent 1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6">
    <w:name w:val="Grid Table 4 - Accent 2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7">
    <w:name w:val="Grid Table 4 - Accent 3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8">
    <w:name w:val="Grid Table 4 - Accent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9">
    <w:name w:val="Grid Table 4 - Accent 5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0">
    <w:name w:val="Grid Table 4 - Accent 6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1">
    <w:name w:val="Grid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2">
    <w:name w:val="Grid Table 5 Dark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3">
    <w:name w:val="Grid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8">
    <w:name w:val="Grid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9">
    <w:name w:val="Grid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0">
    <w:name w:val="Grid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1">
    <w:name w:val="Grid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2">
    <w:name w:val="Grid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3">
    <w:name w:val="Grid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4">
    <w:name w:val="Grid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0">
    <w:name w:val="List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1">
    <w:name w:val="List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2">
    <w:name w:val="List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3">
    <w:name w:val="List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4">
    <w:name w:val="List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5">
    <w:name w:val="List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6">
    <w:name w:val="List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8">
    <w:name w:val="List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9">
    <w:name w:val="List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0">
    <w:name w:val="List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1">
    <w:name w:val="List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2">
    <w:name w:val="List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3">
    <w:name w:val="List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4">
    <w:name w:val="List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5">
    <w:name w:val="List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6">
    <w:name w:val="List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7">
    <w:name w:val="List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8">
    <w:name w:val="List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89">
    <w:name w:val="List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0">
    <w:name w:val="List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1">
    <w:name w:val="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2">
    <w:name w:val="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3">
    <w:name w:val="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4">
    <w:name w:val="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5">
    <w:name w:val="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6">
    <w:name w:val="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7">
    <w:name w:val="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8">
    <w:name w:val="Bordered &amp; 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9">
    <w:name w:val="Bordered &amp; 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0">
    <w:name w:val="Bordered &amp; 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1">
    <w:name w:val="Bordered &amp; 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2">
    <w:name w:val="Bordered &amp; 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3">
    <w:name w:val="Bordered &amp; 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4">
    <w:name w:val="Bordered &amp; 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5">
    <w:name w:val="Bordered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6">
    <w:name w:val="Bordered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7">
    <w:name w:val="Bordered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8">
    <w:name w:val="Bordered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9">
    <w:name w:val="Bordered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0">
    <w:name w:val="Bordered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1">
    <w:name w:val="Bordered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2">
    <w:name w:val="Hyperlink"/>
    <w:uiPriority w:val="99"/>
    <w:unhideWhenUsed/>
    <w:rPr>
      <w:color w:val="0000ff" w:themeColor="hyperlink"/>
      <w:u w:val="single"/>
    </w:rPr>
  </w:style>
  <w:style w:type="paragraph" w:styleId="813">
    <w:name w:val="footnote text"/>
    <w:basedOn w:val="830"/>
    <w:link w:val="814"/>
    <w:uiPriority w:val="99"/>
    <w:semiHidden/>
    <w:unhideWhenUsed/>
    <w:pPr>
      <w:spacing w:after="40" w:line="240" w:lineRule="auto"/>
    </w:pPr>
    <w:rPr>
      <w:sz w:val="18"/>
    </w:rPr>
  </w:style>
  <w:style w:type="character" w:styleId="814">
    <w:name w:val="Footnote Text Char"/>
    <w:link w:val="813"/>
    <w:uiPriority w:val="99"/>
    <w:rPr>
      <w:sz w:val="18"/>
    </w:rPr>
  </w:style>
  <w:style w:type="character" w:styleId="815">
    <w:name w:val="footnote reference"/>
    <w:uiPriority w:val="99"/>
    <w:unhideWhenUsed/>
    <w:rPr>
      <w:vertAlign w:val="superscript"/>
    </w:rPr>
  </w:style>
  <w:style w:type="paragraph" w:styleId="816">
    <w:name w:val="endnote text"/>
    <w:basedOn w:val="830"/>
    <w:link w:val="817"/>
    <w:uiPriority w:val="99"/>
    <w:semiHidden/>
    <w:unhideWhenUsed/>
    <w:pPr>
      <w:spacing w:after="0" w:line="240" w:lineRule="auto"/>
    </w:pPr>
    <w:rPr>
      <w:sz w:val="20"/>
    </w:rPr>
  </w:style>
  <w:style w:type="character" w:styleId="817">
    <w:name w:val="Endnote Text Char"/>
    <w:link w:val="816"/>
    <w:uiPriority w:val="99"/>
    <w:rPr>
      <w:sz w:val="20"/>
    </w:rPr>
  </w:style>
  <w:style w:type="character" w:styleId="818">
    <w:name w:val="endnote reference"/>
    <w:uiPriority w:val="99"/>
    <w:semiHidden/>
    <w:unhideWhenUsed/>
    <w:rPr>
      <w:vertAlign w:val="superscript"/>
    </w:rPr>
  </w:style>
  <w:style w:type="paragraph" w:styleId="819">
    <w:name w:val="toc 1"/>
    <w:basedOn w:val="830"/>
    <w:next w:val="830"/>
    <w:uiPriority w:val="39"/>
    <w:unhideWhenUsed/>
    <w:pPr>
      <w:ind w:left="0" w:right="0" w:firstLine="0"/>
      <w:spacing w:after="57"/>
    </w:pPr>
  </w:style>
  <w:style w:type="paragraph" w:styleId="820">
    <w:name w:val="toc 2"/>
    <w:basedOn w:val="830"/>
    <w:next w:val="830"/>
    <w:uiPriority w:val="39"/>
    <w:unhideWhenUsed/>
    <w:pPr>
      <w:ind w:left="283" w:right="0" w:firstLine="0"/>
      <w:spacing w:after="57"/>
    </w:pPr>
  </w:style>
  <w:style w:type="paragraph" w:styleId="821">
    <w:name w:val="toc 3"/>
    <w:basedOn w:val="830"/>
    <w:next w:val="830"/>
    <w:uiPriority w:val="39"/>
    <w:unhideWhenUsed/>
    <w:pPr>
      <w:ind w:left="567" w:right="0" w:firstLine="0"/>
      <w:spacing w:after="57"/>
    </w:pPr>
  </w:style>
  <w:style w:type="paragraph" w:styleId="822">
    <w:name w:val="toc 4"/>
    <w:basedOn w:val="830"/>
    <w:next w:val="830"/>
    <w:uiPriority w:val="39"/>
    <w:unhideWhenUsed/>
    <w:pPr>
      <w:ind w:left="850" w:right="0" w:firstLine="0"/>
      <w:spacing w:after="57"/>
    </w:pPr>
  </w:style>
  <w:style w:type="paragraph" w:styleId="823">
    <w:name w:val="toc 5"/>
    <w:basedOn w:val="830"/>
    <w:next w:val="830"/>
    <w:uiPriority w:val="39"/>
    <w:unhideWhenUsed/>
    <w:pPr>
      <w:ind w:left="1134" w:right="0" w:firstLine="0"/>
      <w:spacing w:after="57"/>
    </w:pPr>
  </w:style>
  <w:style w:type="paragraph" w:styleId="824">
    <w:name w:val="toc 6"/>
    <w:basedOn w:val="830"/>
    <w:next w:val="830"/>
    <w:uiPriority w:val="39"/>
    <w:unhideWhenUsed/>
    <w:pPr>
      <w:ind w:left="1417" w:right="0" w:firstLine="0"/>
      <w:spacing w:after="57"/>
    </w:pPr>
  </w:style>
  <w:style w:type="paragraph" w:styleId="825">
    <w:name w:val="toc 7"/>
    <w:basedOn w:val="830"/>
    <w:next w:val="830"/>
    <w:uiPriority w:val="39"/>
    <w:unhideWhenUsed/>
    <w:pPr>
      <w:ind w:left="1701" w:right="0" w:firstLine="0"/>
      <w:spacing w:after="57"/>
    </w:pPr>
  </w:style>
  <w:style w:type="paragraph" w:styleId="826">
    <w:name w:val="toc 8"/>
    <w:basedOn w:val="830"/>
    <w:next w:val="830"/>
    <w:uiPriority w:val="39"/>
    <w:unhideWhenUsed/>
    <w:pPr>
      <w:ind w:left="1984" w:right="0" w:firstLine="0"/>
      <w:spacing w:after="57"/>
    </w:pPr>
  </w:style>
  <w:style w:type="paragraph" w:styleId="827">
    <w:name w:val="toc 9"/>
    <w:basedOn w:val="830"/>
    <w:next w:val="830"/>
    <w:uiPriority w:val="39"/>
    <w:unhideWhenUsed/>
    <w:pPr>
      <w:ind w:left="2268" w:right="0" w:firstLine="0"/>
      <w:spacing w:after="57"/>
    </w:pPr>
  </w:style>
  <w:style w:type="paragraph" w:styleId="828">
    <w:name w:val="TOC Heading"/>
    <w:uiPriority w:val="39"/>
    <w:unhideWhenUsed/>
  </w:style>
  <w:style w:type="paragraph" w:styleId="829">
    <w:name w:val="table of figures"/>
    <w:basedOn w:val="830"/>
    <w:next w:val="830"/>
    <w:uiPriority w:val="99"/>
    <w:unhideWhenUsed/>
    <w:pPr>
      <w:spacing w:after="0" w:afterAutospacing="0"/>
    </w:pPr>
  </w:style>
  <w:style w:type="paragraph" w:styleId="830" w:default="1">
    <w:name w:val="Normal"/>
    <w:qFormat/>
  </w:style>
  <w:style w:type="table" w:styleId="83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2" w:default="1">
    <w:name w:val="No List"/>
    <w:uiPriority w:val="99"/>
    <w:semiHidden/>
    <w:unhideWhenUsed/>
  </w:style>
  <w:style w:type="paragraph" w:styleId="833">
    <w:name w:val="No Spacing"/>
    <w:basedOn w:val="830"/>
    <w:uiPriority w:val="1"/>
    <w:qFormat/>
    <w:pPr>
      <w:spacing w:after="0" w:line="240" w:lineRule="auto"/>
    </w:pPr>
  </w:style>
  <w:style w:type="paragraph" w:styleId="834">
    <w:name w:val="List Paragraph"/>
    <w:basedOn w:val="830"/>
    <w:uiPriority w:val="34"/>
    <w:qFormat/>
    <w:pPr>
      <w:contextualSpacing/>
      <w:ind w:left="720"/>
    </w:pPr>
  </w:style>
  <w:style w:type="character" w:styleId="835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26</cp:revision>
  <dcterms:modified xsi:type="dcterms:W3CDTF">2025-04-29T05:01:36Z</dcterms:modified>
</cp:coreProperties>
</file>