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2 908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250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14 981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27 293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КАРАСУКСКИЙ МУНИЦИПАЛЬНЫЙ ОКРУГ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Карасукского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муниципального округа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Кулаков Вячеслав Михайлович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55 36 800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55 36 807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Карасук,</w:t>
              <w:br/>
              <w:t xml:space="preserve">ул. Октябрьская, 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Первый 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Шитвин Сергей Викторович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55 36 801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Карасук,</w:t>
              <w:br/>
              <w:t xml:space="preserve">ул. Октябрьская, 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Карасукского муниципального округа»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Безродная Светлана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55 36 193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Карасук,</w:t>
              <w:br/>
              <w:t xml:space="preserve">ул. Октябрьская, 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</w:t>
              <w:br/>
              <w:t xml:space="preserve">поддержки населения Карасукского </w:t>
              <w:br/>
              <w:t xml:space="preserve">муниципального округа»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Сивакова Валентина Яковлевна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55 36 296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Карасук,</w:t>
              <w:br/>
              <w:t xml:space="preserve">ул. С. Лазо,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социального обслуживания населения администрации</w:t>
              <w:br/>
              <w:t xml:space="preserve">Карасукского муниципального округа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Гринченко Павел Петрович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55 36 860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Карасук,</w:t>
              <w:br/>
              <w:t xml:space="preserve">ул. Д. Бедного, 62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Карасукского муниципального округу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5"/>
                <w:szCs w:val="15"/>
              </w:rPr>
              <w:t xml:space="preserve">Ященко Юлия Андреевна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55 36 824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Карасук,</w:t>
              <w:br/>
              <w:t xml:space="preserve">ул. Комсомольская, 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Сыромятова Алёна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55 36 823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Карасук,</w:t>
              <w:br/>
              <w:t xml:space="preserve">ул. Комсомольская, 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социального обслуживания населения Карасукского муниципального округа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 Новосибирской области»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Котлярова Наталья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55 31 623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Карасук,</w:t>
              <w:br/>
              <w:t xml:space="preserve">ул. С. Лазо,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срочной социальной помощи и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1 специальный жилой дом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(филиал КЦСОН)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Телефон доверия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37 922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38 279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17 651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20 628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8 848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20 176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9 255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1 629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2 049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1 851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1 879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1 877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3 794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3 301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3 244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3 081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8,92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7,85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8,43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8,05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3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2 969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1 549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547,08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93,00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январь-июль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92 011,4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66 574,5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январю-июлю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117,5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40</cp:revision>
  <dcterms:modified xsi:type="dcterms:W3CDTF">2025-10-22T02:36:03Z</dcterms:modified>
</cp:coreProperties>
</file>