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23"/>
        <w:spacing w:before="0" w:after="0" w:line="240" w:lineRule="auto"/>
        <w:ind w:left="0" w:firstLine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Tahoma" w:hAnsi="Tahoma" w:eastAsia="Tahoma" w:cs="Tahoma"/>
          <w:b w:val="0"/>
          <w:bCs w:val="0"/>
          <w:i w:val="0"/>
          <w:iCs w:val="0"/>
          <w:strike w:val="0"/>
          <w:color w:val="auto"/>
          <w:sz w:val="20"/>
          <w:szCs w:val="20"/>
          <w:lang w:val="ru-RU" w:bidi="zh-CN"/>
        </w:rPr>
        <w:t xml:space="preserve">Документ предоставлен </w:t>
      </w:r>
      <w:hyperlink r:id="rId8">
        <w:r>
          <w:rPr>
            <w:rFonts w:ascii="Tahoma" w:hAnsi="Tahoma" w:eastAsia="Tahoma" w:cs="Tahoma"/>
            <w:b w:val="0"/>
            <w:bCs w:val="0"/>
            <w:i w:val="0"/>
            <w:iCs w:val="0"/>
            <w:strike w:val="0"/>
            <w:color w:val="0000ff"/>
            <w:sz w:val="20"/>
            <w:szCs w:val="20"/>
            <w:lang w:val="ru-RU" w:bidi="zh-CN"/>
          </w:rPr>
          <w:t xml:space="preserve">КонсультантПлюс</w:t>
        </w:r>
      </w:hyperlink>
      <w:r>
        <w:rPr>
          <w:rFonts w:ascii="Tahoma" w:hAnsi="Tahoma" w:eastAsia="Tahoma" w:cs="Tahoma"/>
          <w:b w:val="0"/>
          <w:bCs w:val="0"/>
          <w:i w:val="0"/>
          <w:iCs w:val="0"/>
          <w:strike w:val="0"/>
          <w:color w:val="auto"/>
          <w:sz w:val="20"/>
          <w:szCs w:val="20"/>
          <w:lang w:val="ru-RU" w:bidi="zh-CN"/>
        </w:rPr>
        <w:br/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МИНИСТЕРСТВО ТРУДА И СОЦИАЛЬНОГО РАЗВИТИЯ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НОВОСИБИРСКОЙ ОБЛАСТИ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ПРИКАЗ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18 декабря 2024 г. N 2702-НПА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СОЗДАНИИ КОНКУРСНОЙ КОМИССИИ ПО ПРОВЕДЕНИЮ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ОТБОРА НЕКОММЕРЧЕСКИХ ОРГАНИЗАЦИЙ, НЕ ЯВЛЯЮЩИХСЯ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ГОСУДАРСТВЕННЫМИ (МУНИЦИПАЛЬНЫМИ) УЧРЕЖДЕНИЯМИ</w:t>
      </w:r>
    </w:p>
    <w:p>
      <w:pPr>
        <w:pStyle w:val="Style_23"/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2"/>
        <w:gridCol w:w="113"/>
      </w:tblGrid>
      <w:tr>
        <w:trPr>
          <w:jc w:val="left"/>
        </w:trPr>
        <w:tc>
          <w:tcPr>
            <w:tcW w:w="60" w:type="dxa"/>
            <w:shd w:val="clear" w:fill="ced3f1"/>
            <w:vAlign w:val="top"/>
          </w:tcPr>
          <w:p>
            <w:pPr>
              <w:pStyle w:val="Style_23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112" w:type="dxa"/>
            <w:shd w:val="clear" w:fill="f4f3f8"/>
            <w:vAlign w:val="top"/>
          </w:tcPr>
          <w:p>
            <w:pPr>
              <w:pStyle w:val="Style_23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9922" w:type="dxa"/>
            <w:shd w:val="clear" w:fill="f4f3f8"/>
            <w:tcMar>
              <w:top w:w="113" w:type="dxa"/>
              <w:bottom w:w="113" w:type="dxa"/>
            </w:tcMar>
            <w:vAlign w:val="top"/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Список изменяющих документов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(в ред. </w:t>
            </w:r>
            <w:hyperlink r:id="rId9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 Минтруда и соцразвития Новосибирской области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14.03.2025 N 405-НПА)</w:t>
            </w:r>
          </w:p>
        </w:tc>
        <w:tc>
          <w:tcPr>
            <w:tcW w:w="113" w:type="dxa"/>
            <w:shd w:val="clear" w:fill="f4f3f8"/>
            <w:vAlign w:val="top"/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</w:pPr>
          </w:p>
        </w:tc>
      </w:tr>
    </w:tbl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 соответствии с </w:t>
      </w:r>
      <w:hyperlink r:id="rId1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порядком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"Социальная поддержка в Новосибирской области", установленным постановлением Правительства Новосибирской области от 17.11.2021 N 462-п "Об утверждении государственной программы Новосибирской области "Социальная поддержка в Новосибирской области", приказываю: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1. Создать конкурсную комиссию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2. Утвердить прилагаемые: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1) </w:t>
      </w:r>
      <w:hyperlink r:id="rId1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составы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конкурсная комиссия);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2) </w:t>
      </w:r>
      <w:hyperlink r:id="rId1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положение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 конкурсной комиссии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3) форму </w:t>
      </w:r>
      <w:hyperlink r:id="rId13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заявки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 предоставлении субсидии.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3. Признать утратившими силу приказы министерства труда и социального развития Новосибирской области: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10.01.2022 </w:t>
      </w:r>
      <w:hyperlink r:id="rId14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создании конкурсной комиссии по проведению отбора некоммерческих организаций, не являющихся государственными (муниципальными) учреждениями";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18.03.2022 </w:t>
      </w:r>
      <w:hyperlink r:id="rId15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231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16.08.2022 </w:t>
      </w:r>
      <w:hyperlink r:id="rId16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1043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изменения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31.01.2023 </w:t>
      </w:r>
      <w:hyperlink r:id="rId17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125-НПА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03.04.2023 </w:t>
      </w:r>
      <w:hyperlink r:id="rId18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387-НПА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20.07.2023 </w:t>
      </w:r>
      <w:hyperlink r:id="rId19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1207-НПА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13.12.2023 </w:t>
      </w:r>
      <w:hyperlink r:id="rId2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2229-НПА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изменения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09.01.2024 </w:t>
      </w:r>
      <w:hyperlink r:id="rId21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изменений в приказ министерства труда и социального развития Новосибирской области от 10.01.2022 N 1";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03.06.2024 </w:t>
      </w:r>
      <w:hyperlink r:id="rId22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N 1127-НПА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"О внесении изменения в приказ министерства труда и социального развития Новосибирской области от 10.01.2022 N 1".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4. Контроль за исполнением настоящего приказа возложить на первого заместителя министра труда и социального развития Новосибирской области Москалеву Е.М.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Министр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Е.В.БАХАРЕВА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Утверждены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приказом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министерства труда 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социального развития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Новосибирской области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18.12.2024 N 2702-НПА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bookmarkStart w:id="1" w:name="Par46"/>
      <w:bookmarkEnd w:id="1"/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СОСТАВЫ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КОНКУРСНОЙ КОМИССИИ ПО ПРОВЕДЕНИЮ ОТБОРА НЕКОММЕРЧЕСКИХ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ОРГАНИЗАЦИЙ, НЕ ЯВЛЯЮЩИХСЯ ГОСУДАРСТВЕННЫМИ (МУНИЦИПАЛЬНЫМИ)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УЧРЕЖДЕНИЯМИ, НА ПРЕДОСТАВЛЕНИЕ ИМ СУБСИДИЙ В РАМКАХ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РЕАЛИЗАЦИИ ГОСУДАРСТВЕННОЙ ПРОГРАММЫ НОВОСИБИРСКОЙ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ОБЛАСТИ "СОЦИАЛЬНАЯ ПОДДЕРЖКА В НОВОСИБИРСКОЙ ОБЛАСТИ"</w:t>
      </w:r>
    </w:p>
    <w:p>
      <w:pPr>
        <w:pStyle w:val="Style_23"/>
        <w:spacing w:before="0" w:after="0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60"/>
        <w:gridCol w:w="112"/>
        <w:gridCol w:w="9922"/>
        <w:gridCol w:w="113"/>
      </w:tblGrid>
      <w:tr>
        <w:trPr>
          <w:jc w:val="left"/>
        </w:trPr>
        <w:tc>
          <w:tcPr>
            <w:tcW w:w="60" w:type="dxa"/>
            <w:shd w:val="clear" w:fill="ced3f1"/>
            <w:vAlign w:val="top"/>
          </w:tcPr>
          <w:p>
            <w:pPr>
              <w:pStyle w:val="Style_23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112" w:type="dxa"/>
            <w:shd w:val="clear" w:fill="f4f3f8"/>
            <w:vAlign w:val="top"/>
          </w:tcPr>
          <w:p>
            <w:pPr>
              <w:pStyle w:val="Style_23"/>
              <w:spacing w:before="0"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</w:p>
        </w:tc>
        <w:tc>
          <w:tcPr>
            <w:tcW w:w="9922" w:type="dxa"/>
            <w:shd w:val="clear" w:fill="f4f3f8"/>
            <w:tcMar>
              <w:top w:w="113" w:type="dxa"/>
              <w:bottom w:w="113" w:type="dxa"/>
            </w:tcMar>
            <w:vAlign w:val="top"/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Список изменяющих документов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(в ред. </w:t>
            </w:r>
            <w:hyperlink r:id="rId23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приказа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 Минтруда и соцразвития Новосибирской области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  <w:t xml:space="preserve">от 14.03.2025 N 405-НПА)</w:t>
            </w:r>
          </w:p>
        </w:tc>
        <w:tc>
          <w:tcPr>
            <w:tcW w:w="113" w:type="dxa"/>
            <w:shd w:val="clear" w:fill="f4f3f8"/>
            <w:vAlign w:val="top"/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392c69"/>
                <w:sz w:val="16"/>
                <w:szCs w:val="16"/>
                <w:lang w:val="ru-RU" w:bidi="zh-CN"/>
              </w:rPr>
            </w:pPr>
          </w:p>
        </w:tc>
      </w:tr>
    </w:tbl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Состав N 1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3117"/>
        <w:gridCol w:w="398"/>
        <w:gridCol w:w="5556"/>
      </w:tblGrid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Москалева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Екатерина Михайловна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первый заместитель министра труда и социального развития Новосибирской области, председатель конкурсной комиссии;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Савченко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Татьяна Александровна &lt;1&gt;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управления комплексного анализа и социального проектирования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Змейкова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Юлиана Петровна &lt;2&gt;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консультант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секретарь конкурсной комиссии;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Кузьмина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Наталья Леонидовна &lt;3&gt;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Малицкая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Елена Павловна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президент Фонда "Сибирский Центр Поддержки Общественных Инициатив", председатель Комиссии Общественной палаты Новосибирской области по развитию гражданских инициатив, добровольчества, благотворительности и СО НКО (по согласованию);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Милеева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Екатерина Сергеевна &lt;4&gt;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отдела опеки и попечительства управления семейной политики и защиты прав детей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Панин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Павел Станиславович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координатор проектов Ассоциации содействия развитию некоммерческого сектора "Информационно-аналитический центр развития гражданских инициатив" (по согласованию);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Перкова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Ирина Валерьевна &lt;5&gt;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311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Тайлакова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Наталия Игнатьевна &lt;6&gt;</w:t>
            </w:r>
          </w:p>
        </w:tc>
        <w:tc>
          <w:tcPr>
            <w:tcW w:w="398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556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--------------------------------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&lt;1&gt; - в период временного отсутствия Савченко Татьяны Александровны, начальника управления комплексного анализа и социального проектирования министерства труда и социального развития Новосибирской области, заместителя председателя конкурсной комиссии, ввести в состав комиссии Михайлову Елену Николаевну, начальника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&lt;2&gt; - в период временного отсутствия Змейковой Юлианы Петровны,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области, секретаря конкурсной комиссии, ввести в состав комиссии Пурину Светлану Владимировну, консультанта отдела реализации социальных проектов и программ управления комплексного анализа и социального проектирования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&lt;3&gt; - в период временного отсутствия Кузьминой Натальи Леонидовны, начальника управления семейной политики и защиты прав детей министерства труда и социального развития Новосибирской области, ввести в состав комиссии Шульц Оксану Сергеевну, начальника отдела организации отдыха и оздоровления несовершеннолетних управления семейной политики и защиты прав детей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&lt;4&gt; - в период временного отсутствия Милеевой Екатерины Сергеевны, начальника отдела опеки и попечительства управления семейной политики и защиты прав детей министерства труда и социального развития Новосибирской области, ввести в состав комиссии Бессонову Юлию Валерьевну, заместителя начальника отдела опеки и попечительства управления семейной политики защиты прав детей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&lt;5&gt;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Саулину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&lt;6&gt; - в период временного отсутствия Тайлаковой Наталии Игнатьевны, начальника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Попову Валерию Сергеевну, консультанта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Состав N 2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(в ред. </w:t>
      </w:r>
      <w:hyperlink r:id="rId24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приказа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Минтруда и соцразвития Новосибирской области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14.03.2025 N 405-НПА)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2834"/>
        <w:gridCol w:w="397"/>
        <w:gridCol w:w="5840"/>
      </w:tblGrid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Журин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Дмитрий Валентинович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председатель конкурсной комиссии;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Нифонтова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Анастасия Анатольевна &lt;1&gt;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начальник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заместитель председателя конкурсной комиссии;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Быкова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Анна Васильевна &lt;2&gt;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консультант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секретарь конкурсной комиссии;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Захарова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Марина Владимировна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заместитель руководителя Территориального органа Росздравнадзора по Новосибирской области (по согласованию);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Медведев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Алексей Викторович &lt;3&gt;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заместитель начальника управления - начальник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Собко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Светлана Александровна &lt;4&gt;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консультант отдела организации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Перкова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Ирина Валерьевна &lt;5&gt;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заместитель начальника управления - начальник отдела судебной и договорной работы правового управления министерства труда и социального развития Новосибирской области;</w:t>
            </w:r>
          </w:p>
        </w:tc>
      </w:tr>
      <w:tr>
        <w:trPr>
          <w:jc w:val="left"/>
        </w:trPr>
        <w:tc>
          <w:tcPr>
            <w:tcW w:w="2834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Попова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Валерия Сергеевна &lt;6&gt;</w:t>
            </w:r>
          </w:p>
        </w:tc>
        <w:tc>
          <w:tcPr>
            <w:tcW w:w="397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-</w:t>
            </w:r>
          </w:p>
        </w:tc>
        <w:tc>
          <w:tcPr>
            <w:tcW w:w="5840" w:type="dxa"/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консультант отдела учета и отчетности управления государственных закупок и учета министерства труда и социального развития Новосибирской области.</w:t>
            </w:r>
          </w:p>
        </w:tc>
      </w:tr>
    </w:tbl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--------------------------------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&lt;1&gt; - в период временного отсутствия Нифонтовой Анастасии Анатольевны, начальника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заместителя председателя конкурсной комиссии, ввести в состав комиссии Колчину Анастасию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&lt;2&gt; - в период временного отсутствия Быковой Анны Васильевны,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секретаря конкурсной комиссии, ввести в состав комиссии Власову Маргариту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&lt;3&gt; - в период временного отсутствия Медведева Алексея Викторовича, заместителя начальника управления -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области, ввести в состав комиссии Приходько Веру Владимировну, заместителя начальника отдела экономического анализа и финансового планирования планово-финансового управления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&lt;4&gt; - в период временного отсутствия Собко Светланы Александровны, консультанта отдела организации учреждений социального обслуживания управления организации социального обслуживания населения и реабилитации инвалидов министерства труда и социального развития Новосибирской области, ввести в состав комиссии Перову Янину Владимировну, консультанта отдела по делам ветеранов и лиц с инвалидностью управления организации социального обслуживания населения и реабилитации инвалидов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&lt;5&gt; - в период временного отсутствия Перковой Ирины Валерьевны, заместителя начальника управления - начальника отдела судебной и договорной работы правового управления министерства труда и социального развития Новосибирской области, ввести в состав комиссии Саулину Ксению Сергеевну, консультанта отдела судебной и договорной работы правового управления министерства труда и социального развития Новосибирской области;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&lt;6&gt; - в период временного отсутствия Поповой Валерии Сергеевны, консультанта отдела учета и отчетности управления государственных закупок и учета министерства труда и социального развития Новосибирской области, ввести в состав комиссии Николаенко Татьяну Алексеевну, главного специалиста отдела учета и отчетности управления государственных закупок и учета министерства труда и социального развития Новосибирской области.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Утверждено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приказом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министерства труда 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социального развития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Новосибирской области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18.12.2024 N 2702-НПА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bookmarkStart w:id="2" w:name="Par160"/>
      <w:bookmarkEnd w:id="2"/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ПОЛОЖЕНИЕ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КОНКУРСНОЙ КОМИССИИ ПО ПРОВЕДЕНИЮ ОТБОРА НЕКОММЕРЧЕСКИХ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ОРГАНИЗАЦИЙ, НЕ ЯВЛЯЮЩИХСЯ ГОСУДАРСТВЕННЫМИ (МУНИЦИПАЛЬНЫМИ)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УЧРЕЖДЕНИЯМИ, НА ПРЕДОСТАВЛЕНИЕ ИМ СУБСИДИЙ В РАМКАХ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РЕАЛИЗАЦИИ ГОСУДАРСТВЕННОЙ ПРОГРАММЫ НОВОСИБИРСКОЙ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ОБЛАСТИ "СОЦИАЛЬНАЯ ПОДДЕРЖКА В НОВОСИБИРСКОЙ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/>
          <w:bCs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ОБЛАСТИ" (ДАЛЕЕ - ПОЛОЖЕНИЕ)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1. Конкурсная комиссия по проведению отбора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конкурсная комиссия) формируется министерством труда и социального развития Новосибирской области (далее - министерство) и осуществляет рассмотрение и оценку принятых заявок некоммерческих организаций, не являющихся государственными (муниципальными) учреждениями, на предоставление им субсидий в рамках реализации государственной программы Новосибирской области "Социальная поддержка в Новосибирской области" (далее - государственная программа).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2. В своей деятельности конкурсная комиссия руководствуется </w:t>
      </w:r>
      <w:hyperlink r:id="rId25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Конституцией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Российской Федерации, законами и иными нормативными правовыми актами Российской Федерации, нормативными правовыми актами Новосибирской области и настоящим Положением.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3. Формой работы конкурсной комиссии является заседание.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4. В состав конкурсной комиссии входят председатель, заместитель председателя, секретарь комиссии и члены комиссии.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Председатель конкурсной комиссии: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возглавляет состав конкурсной комиссии;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руководит ее работой;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проводит заседания конкурсной комиссии;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подписывает результат работы конкурсной комиссии, который оформляется на бумажном носителе в форме протокола заседания конкурсной комиссии, подписывает усиленной квалифицированной электронной подписью в государственной интегрированной информационной системе управления общественными финансами "Электронный бюджет" (далее - ГИИС "Электронный бюджет") протоколы, формируемые автоматически на едином портале бюджетной системы Российской Федерации в информационно-телекоммуникационной сети "Интернет" (далее - единый портал), который является частью ГИИС "Электронный бюджет".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В отсутствие председателя конкурсной комиссии его обязанности исполняет заместитель председателя конкурсной комиссии, в том числе в части подписания протоколов заседания конкурсной комиссии на бумажном носителе и в ГИИС "Электронный бюджет".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Секретарь конкурсной комиссии: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осуществляет подготовку заседания конкурсной комиссии;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уведомляет членов конкурсной комиссии о дате, времени и месте проведения заседания;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готовит в течение одного рабочего дня со дня заседания конкурсной комиссии протоколы заседаний конкурсной комиссии на бумажном носителе и подписывает их у членов комиссии.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5. Доступ к заявкам о предоставлении субсидии (далее - заявка), поданным участниками отбора, для их рассмотрения и оценки открывается членам конкурсной комиссии в ГИИС "Электронный бюджет" не позднее одного рабочего дня, следующего за днем окончания срока подачи заявок, установленного в объявлении о проведении отбора получателей субсидий.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6. Заседание конкурсной комиссии проводится не позднее десяти рабочих дней со дня окончания срока приема заявок, установленного приказом министерства о проведении конкурсного отбора.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7. Заседание конкурсной комиссии считается правомочным в случае присутствия на нем более половины состава членов конкурсной комиссии.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8. Состав конкурсной комиссии, которая проводит отбор получателей субсидии, определяется приказом министерства о проведении конкурсного отбора исходя из реализуемого мероприятия (результата).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9. Рассмотрение и оценка поступивших заявок осуществляется членами конкурсной комиссии на основании критериев оценки, определенных </w:t>
      </w:r>
      <w:hyperlink r:id="rId26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порядком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определения объема и предоставления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"Социальная поддержка в Новосибирской области", установленным постановлением Правительства Новосибирской области от 17.11.2021 N 462-п "Об утверждении государственной программы Новосибирской области "Социальная поддержка в Новосибирской области", и коэффициентов значимости (весовых значений критерия) в общей оценке: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tbl>
      <w:tblPr>
        <w:tblW w:w="0" w:type="auto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</w:tblPr>
      <w:tblGrid>
        <w:gridCol w:w="566"/>
        <w:gridCol w:w="4536"/>
        <w:gridCol w:w="2835"/>
        <w:gridCol w:w="1133"/>
      </w:tblGrid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N п/п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Критерии оценки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Оценки показателей критериев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Коэффициент значимости (весовое значение критерия)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1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Наличие у участника отбора квалифицированного кадрового потенциала, подтвержденного списками специалистов, необходимых для реализации мероприятия (результата) государственной программы (наличие у них опыта работы в социальной сфере), в соответствии с минимальными требованиями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при отсутствии подтверждающих документов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1 до 2 специалистов - 2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3 до 5 специалистов - 3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6 до 7 специалистов - 5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свыше 7 специалистов - 7 баллов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2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Наличие (количество) оборудования (в пригодном для работы состоянии) и других материальных ресурсов, планируемых к использованию (использованных) для достижения указанных результатов, в соответствии с минимальными требованиями, наличие которых подтверждено документами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при отсутствии оборудования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1 до 10 единиц - 1 балл;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11 до 20 единиц - 3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свыше 20 единиц - 5 баллов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3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Соотношение размера запрашиваемой субсидии и размера заемных и (или) собственных средств, планируемых к привлечению для достижения указанных результатов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менее 25%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25% до 35% - 1 балл;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36% до 100% - 3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более 100% - 5 баллов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0,1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4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Продолжительность осуществления деятельности участника отбора на территории Новосибирской области в социальной сфере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менее 6 месяцев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6 месяцев до 5 лет - 1 балл;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свыше 5 лет - 2 балла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0,1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5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Размещение на официальном сайте участника отбора в сети "Интернет" либо на официальном сайте Общественной палаты Новосибирской области в сети "Интернет" публичного годового отчета участника отбора за год, предшествующий году, в котором проводится отбор, содержащего информацию о целях и задачах деятельности участника отбора, проектах, реализованных участником отбора, об использованных собственных денежных средствах, грантах, субсидиях, привлеченных участником отбора для реализации проектов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отсутствие размещения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размещение - 1 балл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6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Количество граждан, вовлеченных участником отбора в реализацию мероприятия (результата) государственной программы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1 до 29 человек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30 до 40 человек - 1 балл;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41 до 60 человек - 2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61 до 90 человек - 3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91 до 130 человек - 4 балла;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свыше 130 человек - 5 баллов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0,2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7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Количество муниципальных образований, на территории которых планируется реализовать мероприятие (результат) государственной программы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1 муниципальное образование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 2 до 3 муниципальных образований - 1 балл;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более 3 муниципальных образований - 3 балла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8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Обеспечение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</w:t>
            </w:r>
            <w:hyperlink r:id="rId27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пунктами 1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 - </w:t>
            </w:r>
            <w:hyperlink r:id="rId28">
              <w:r>
                <w:rPr>
                  <w:rFonts w:ascii="Arial" w:hAnsi="Arial" w:eastAsia="Arial" w:cs="Arial"/>
                  <w:b w:val="0"/>
                  <w:bCs w:val="0"/>
                  <w:i w:val="0"/>
                  <w:iCs w:val="0"/>
                  <w:strike w:val="0"/>
                  <w:color w:val="0000ff"/>
                  <w:sz w:val="16"/>
                  <w:szCs w:val="16"/>
                  <w:lang w:val="ru-RU" w:bidi="zh-CN"/>
                </w:rPr>
                <w:t xml:space="preserve">8 статьи 15</w:t>
              </w:r>
            </w:hyperlink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 Федерального закона от 24.11.1995 N 181-ФЗ "О социальной защите инвалидов в Российской Федерации"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необеспечение условий доступности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обеспечение условий доступности - 3 балла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0,05</w:t>
            </w:r>
          </w:p>
        </w:tc>
      </w:tr>
      <w:tr>
        <w:trPr>
          <w:jc w:val="left"/>
        </w:trPr>
        <w:tc>
          <w:tcPr>
            <w:tcW w:w="5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9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Представление участником отбора документов, подтверждающих не менее одного факта проведения антикоррупционных мероприятий: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по нормативному обеспечению, закреплению стандартов поведения и декларации намерений (наличие не менее одного из следующих документов: разработка и принятие кодекса этики и служебного поведения работников организации; разработка и внедрение положения о конфликте интересов, декларации о конфликте интересов; присоединение к Антикоррупционной хартии российского бизнеса; введение в договоры, связанные с хозяйственной деятельностью организации, стандартной антикоррупционной оговорки; введение антикоррупционных положений в трудовые договоры работников);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по периодическому проведению внешнего аудита;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по привлечению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отсутствие документов - 0 баллов;</w:t>
            </w:r>
          </w:p>
          <w:p>
            <w:pPr>
              <w:pStyle w:val="Style_23"/>
              <w:spacing w:before="0" w:after="0" w:line="240" w:lineRule="auto"/>
              <w:ind w:left="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представление документов - 1 балл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tcMar>
              <w:left w:w="62" w:type="dxa"/>
              <w:top w:w="102" w:type="dxa"/>
              <w:right w:w="62" w:type="dxa"/>
              <w:bottom w:w="102" w:type="dxa"/>
            </w:tcMar>
          </w:tcPr>
          <w:p>
            <w:pPr>
              <w:pStyle w:val="Style_23"/>
              <w:spacing w:before="0" w:after="0" w:line="240" w:lineRule="auto"/>
              <w:ind w:left="0" w:firstLine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</w:pPr>
            <w:r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color w:val="auto"/>
                <w:sz w:val="16"/>
                <w:szCs w:val="16"/>
                <w:lang w:val="ru-RU" w:bidi="zh-CN"/>
              </w:rPr>
              <w:t xml:space="preserve">0,05</w:t>
            </w:r>
          </w:p>
        </w:tc>
      </w:tr>
    </w:tbl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10. Внесение данных на единый портал по итогам рассмотрения заявок и оценки принятых заявок осуществляет уполномоченный на это председателем комиссии член конкурсной комиссии из состава конкурсной комиссии, определенного приказом министерства о проведении конкурсного отбора, не позднее одного рабочего дня со дня утверждения протокола заседания конкурсной комиссии.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11. На основании внесенных результатов рассмотрения заявок конкурсной комиссией на едином портале автоматически формируется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не позднее одного рабочего дня со дня окончания срока рассмотрения заявок конкурсной комиссией и подписывается усиленной квалифицированной электронной подписью председателем конкурсной комиссии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12. В целях завершения отбора получателей субсидий формируется протокол подведения итогов отбора получателей субсидий, включающий информацию 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 (в случае если объявлением о проведении отбора получателей субсидий предусмотрена оценка заявок),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13. Протокол подведения итогов отбора получателей субсидий формируется на едином портале автоматически на основании результатов отбора получателей субсидий и подписывается усиленной квалифицированной электронной подписью председателя конкурсной комиссии в ГИИС "Электронный бюджет", а также размещается на едином портале не позднее одного рабочего дня, следующего за днем его подписания.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Утверждена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приказом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министерства труда 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социального развития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Новосибирской области</w:t>
      </w: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от 18.12.2024 N 2702-НПА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right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ФОРМА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bookmarkStart w:id="3" w:name="Par272"/>
      <w:bookmarkEnd w:id="3"/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ЗАЯВКА</w:t>
      </w:r>
    </w:p>
    <w:p>
      <w:pPr>
        <w:pStyle w:val="Style_23"/>
        <w:spacing w:before="0" w:after="0" w:line="240" w:lineRule="auto"/>
        <w:ind w:left="0" w:firstLine="0"/>
        <w:jc w:val="center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предоставлении субсидии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Заявка формируется участником отбора на участие в отборе в электронной форме посредством заполнения соответствующих экранных форм веб-интерфейса ГИИС "Электронный бюджет" и содержит следующую информацию: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проекте;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об участнике отбора (заявителе);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мероприятиях, которые планируется провести в рамках проекта (план);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планируемых расходах средств субсидии (бюджет);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требования к участнику (с возможностью приложения подтверждающих документов);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наличии у участника отбора квалифицированного кадрового потенциала;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наличии оборудования и других материальных ресурсов, планируемых к использованию для достижения результатов субсидии;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размере заемных и (или) собственных средств, планируемых к привлечению для достижения результатов субсидии;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продолжительности осуществления деятельности участника отбора на территории Новосибирской области в социальной сфере;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размещении на официальном сайте участника отбора в сети "Интернет" либо на официальном сайте Общественной палаты Новосибирской области в сети "Интернет" публичного годового отчета за год;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количестве граждан, вовлеченных участником отбора в реализацию мероприятия (результата) государственной программы;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количестве муниципальных образований, на территории которых планируется реализовать мероприятие (результат) государственной программы;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об обеспечении участником отбора при реализации мероприятия (результата) государственной программы условий доступности для инвалидов и других маломобильных групп населения, установленных </w:t>
      </w:r>
      <w:hyperlink r:id="rId29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пунктами 1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- </w:t>
      </w:r>
      <w:hyperlink r:id="rId30">
        <w:r>
          <w:rPr>
            <w:rFonts w:ascii="Arial" w:hAnsi="Arial" w:eastAsia="Arial" w:cs="Arial"/>
            <w:b w:val="0"/>
            <w:bCs w:val="0"/>
            <w:i w:val="0"/>
            <w:iCs w:val="0"/>
            <w:strike w:val="0"/>
            <w:color w:val="0000ff"/>
            <w:sz w:val="16"/>
            <w:szCs w:val="16"/>
            <w:lang w:val="ru-RU" w:bidi="zh-CN"/>
          </w:rPr>
          <w:t xml:space="preserve">8 статьи 15</w:t>
        </w:r>
      </w:hyperlink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 Федерального закона от 24.11.1995 N 181-ФЗ "О социальной защите инвалидов в Российской Федерации";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о проведении антикоррупционных мероприятий участником отбора.</w:t>
      </w:r>
    </w:p>
    <w:p>
      <w:pPr>
        <w:pStyle w:val="Style_23"/>
        <w:spacing w:before="16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  <w:r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  <w:t xml:space="preserve">Заявка предусматривает представление в ГИИС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spacing w:before="0" w:after="0" w:line="240" w:lineRule="auto"/>
        <w:ind w:left="0" w:firstLine="54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16"/>
          <w:szCs w:val="16"/>
          <w:lang w:val="ru-RU" w:bidi="zh-CN"/>
        </w:rPr>
      </w:pPr>
    </w:p>
    <w:p>
      <w:pPr>
        <w:pStyle w:val="Style_23"/>
        <w:pBdr>
          <w:top w:val="single" w:color="000000" w:sz="6" w:space="0"/>
          <w:left w:val="none"/>
          <w:bottom w:val="none"/>
          <w:right w:val="none"/>
        </w:pBdr>
        <w:spacing w:before="100" w:after="100" w:line="240" w:lineRule="auto"/>
        <w:ind w:left="0" w:firstLine="0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color w:val="auto"/>
          <w:sz w:val="0"/>
          <w:szCs w:val="0"/>
          <w:lang w:val="ru-RU" w:bidi="zh-CN"/>
        </w:rPr>
      </w:pPr>
    </w:p>
    <w:sectPr>
      <w:footnotePr>
        <w:numFmt w:val="upperLetter"/>
      </w:footnotePr>
      <w:endnotePr>
        <w:numFmt w:val="upperLetter"/>
      </w:endnotePr>
      <w:type w:val="continuous"/>
      <w:pgSz w:w="11906" w:h="16838"/>
      <w:pgMar w:top="1440" w:right="566" w:bottom="1440" w:left="1133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  <w:end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Liberation Sans">
    <w:panose1 w:val="020B0604020202020204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spacing w:before="0" w:after="0" w:line="240" w:lineRule="auto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jc w:val="left"/>
        <w:rPr>
          <w:rFonts w:ascii="Liberation Serif" w:hAnsi="Liberation Serif" w:eastAsia="Liberation Serif" w:cs="Liberation Serif"/>
        </w:rPr>
      </w:pPr>
      <w:r>
        <w:rPr>
          <w:rFonts w:ascii="Liberation Serif" w:hAnsi="Liberation Serif" w:eastAsia="Liberation Serif" w:cs="Liberation Serif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 w:val="true"/>
  <w:characterSpacingControl w:val="doNotCompress"/>
  <w:footnotePr>
    <w:pos w:val="pageBottom"/>
    <w:numStart w:val="1"/>
    <w:numRestart w:val="continuous"/>
    <w:footnote w:id="0"/>
    <w:footnote w:id="1"/>
  </w:footnotePr>
  <w:endnotePr>
    <w:pos w:val="docEnd"/>
    <w:numStart w:val="1"/>
    <w:numRestart w:val="eachSect"/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Liberation Serif" w:cs="Liberation Serif"/>
        <w:sz w:val="24"/>
      </w:rPr>
    </w:rPrDefault>
    <w:pPrDefault>
      <w:pPr>
        <w:spacing w:before="0" w:after="0" w:line="240" w:lineRule="auto"/>
        <w:jc w:val="left"/>
        <w:rPr>
          <w:rFonts w:ascii="Liberation Serif" w:hAnsi="Liberation Serif" w:eastAsia="Liberation Serif" w:cs="Liberation Serif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color w:val="auto"/>
      <w:sz w:val="24"/>
      <w:szCs w:val="24"/>
      <w:lang w:val="ru-RU" w:bidi="zh-CN"/>
    </w:rPr>
  </w:style>
  <w:style w:type="character" w:styleId="Style_15">
    <w:name w:val="ListLabel 1"/>
    <w:rPr>
      <w:rFonts w:ascii="Tahoma" w:hAnsi="Tahoma" w:eastAsia="Tahoma" w:cs="Tahoma"/>
      <w:color w:val="0000ff"/>
      <w:sz w:val="20"/>
    </w:rPr>
  </w:style>
  <w:style w:type="character" w:styleId="Style_16">
    <w:name w:val="Hyperlink"/>
    <w:rPr>
      <w:rFonts w:ascii="Liberation Serif" w:hAnsi="Liberation Serif" w:eastAsia="Liberation Serif" w:cs="Liberation Serif"/>
      <w:color w:val="000080"/>
      <w:sz w:val="24"/>
      <w:u w:val="single"/>
    </w:rPr>
  </w:style>
  <w:style w:type="character" w:styleId="Style_17">
    <w:name w:val="ListLabel 2"/>
    <w:rPr>
      <w:rFonts w:ascii="Liberation Serif" w:hAnsi="Liberation Serif" w:eastAsia="Liberation Serif" w:cs="Liberation Serif"/>
      <w:color w:val="0000ff"/>
      <w:sz w:val="24"/>
    </w:rPr>
  </w:style>
  <w:style w:type="paragraph" w:styleId="Style_18">
    <w:name w:val="Заголовок"/>
    <w:basedOn w:val="Style_0"/>
    <w:pPr>
      <w:keepNext/>
      <w:spacing w:before="240" w:after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ans" w:hAnsi="Liberation Sans" w:eastAsia="Liberation Sans" w:cs="Liberation Sans"/>
      <w:sz w:val="28"/>
    </w:rPr>
  </w:style>
  <w:style w:type="paragraph" w:styleId="Style_19">
    <w:name w:val="Body Text"/>
    <w:basedOn w:val="Style_0"/>
    <w:pPr>
      <w:spacing w:before="0" w:after="14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20">
    <w:name w:val="List"/>
    <w:basedOn w:val="Style_19"/>
    <w:pPr>
      <w:spacing w:before="0" w:after="140" w:line="276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21">
    <w:name w:val="Caption"/>
    <w:basedOn w:val="Style_0"/>
    <w:pPr>
      <w:spacing w:before="120" w:after="12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i/>
      <w:sz w:val="24"/>
    </w:rPr>
  </w:style>
  <w:style w:type="paragraph" w:styleId="Style_22">
    <w:name w:val="Указатель"/>
    <w:basedOn w:val="Style_0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Liberation Serif" w:hAnsi="Liberation Serif" w:eastAsia="Liberation Serif" w:cs="Liberation Serif"/>
      <w:sz w:val="24"/>
    </w:rPr>
  </w:style>
  <w:style w:type="paragraph" w:styleId="Style_23">
    <w:name w:val="ConsPlusNorma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4">
    <w:name w:val="ConsPlusNonforma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  <w:style w:type="paragraph" w:styleId="Style_25">
    <w:name w:val="ConsPlusTitle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/>
      <w:bCs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6">
    <w:name w:val="ConsPlusCell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  <w:style w:type="paragraph" w:styleId="Style_27">
    <w:name w:val="ConsPlusDocLis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Courier New" w:hAnsi="Courier New" w:eastAsia="Courier New" w:cs="Courier New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8">
    <w:name w:val="ConsPlusTitlePage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Tahoma" w:hAnsi="Tahoma" w:eastAsia="Tahoma" w:cs="Tahoma"/>
      <w:b w:val="0"/>
      <w:bCs w:val="0"/>
      <w:i w:val="0"/>
      <w:iCs w:val="0"/>
      <w:strike w:val="0"/>
      <w:color w:val="auto"/>
      <w:sz w:val="16"/>
      <w:szCs w:val="16"/>
      <w:lang w:val="ru-RU" w:bidi="zh-CN"/>
    </w:rPr>
  </w:style>
  <w:style w:type="paragraph" w:styleId="Style_29">
    <w:name w:val="ConsPlusJurTerm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26"/>
      <w:szCs w:val="26"/>
      <w:lang w:val="ru-RU" w:bidi="zh-CN"/>
    </w:rPr>
  </w:style>
  <w:style w:type="paragraph" w:styleId="Style_30">
    <w:name w:val="ConsPlusTextList"/>
    <w:pPr>
      <w:spacing w:before="0" w:after="0" w:line="240" w:lineRule="auto"/>
      <w:jc w:val="left"/>
      <w:rPr>
        <w:rFonts w:ascii="Liberation Serif" w:hAnsi="Liberation Serif" w:eastAsia="Liberation Serif" w:cs="Liberation Serif"/>
      </w:rPr>
    </w:pPr>
    <w:rPr>
      <w:rFonts w:ascii="Arial" w:hAnsi="Arial" w:eastAsia="Arial" w:cs="Arial"/>
      <w:b w:val="0"/>
      <w:bCs w:val="0"/>
      <w:i w:val="0"/>
      <w:iCs w:val="0"/>
      <w:strike w:val="0"/>
      <w:color w:val="auto"/>
      <w:sz w:val="20"/>
      <w:szCs w:val="20"/>
      <w:lang w:val="ru-RU" w:bidi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81811&amp;dst=100005" TargetMode="External"/><Relationship Id="rId10" Type="http://schemas.openxmlformats.org/officeDocument/2006/relationships/hyperlink" Target="https://login.consultant.ru/link/?req=doc&amp;base=RLAW049&amp;n=180431&amp;dst=236" TargetMode="External"/><Relationship Id="rId11" Type="http://schemas.openxmlformats.org/officeDocument/2006/relationships/hyperlink" Target="#Par46" TargetMode="External"/><Relationship Id="rId12" Type="http://schemas.openxmlformats.org/officeDocument/2006/relationships/hyperlink" Target="#Par160" TargetMode="External"/><Relationship Id="rId13" Type="http://schemas.openxmlformats.org/officeDocument/2006/relationships/hyperlink" Target="#Par272" TargetMode="External"/><Relationship Id="rId14" Type="http://schemas.openxmlformats.org/officeDocument/2006/relationships/hyperlink" Target="https://login.consultant.ru/link/?req=doc&amp;base=RLAW049&amp;n=173284" TargetMode="External"/><Relationship Id="rId15" Type="http://schemas.openxmlformats.org/officeDocument/2006/relationships/hyperlink" Target="https://login.consultant.ru/link/?req=doc&amp;base=RLAW049&amp;n=148920" TargetMode="External"/><Relationship Id="rId16" Type="http://schemas.openxmlformats.org/officeDocument/2006/relationships/hyperlink" Target="https://login.consultant.ru/link/?req=doc&amp;base=RLAW049&amp;n=153891" TargetMode="External"/><Relationship Id="rId17" Type="http://schemas.openxmlformats.org/officeDocument/2006/relationships/hyperlink" Target="https://login.consultant.ru/link/?req=doc&amp;base=RLAW049&amp;n=159095" TargetMode="External"/><Relationship Id="rId18" Type="http://schemas.openxmlformats.org/officeDocument/2006/relationships/hyperlink" Target="https://login.consultant.ru/link/?req=doc&amp;base=RLAW049&amp;n=161118" TargetMode="External"/><Relationship Id="rId19" Type="http://schemas.openxmlformats.org/officeDocument/2006/relationships/hyperlink" Target="https://login.consultant.ru/link/?req=doc&amp;base=RLAW049&amp;n=164107" TargetMode="External"/><Relationship Id="rId20" Type="http://schemas.openxmlformats.org/officeDocument/2006/relationships/hyperlink" Target="https://login.consultant.ru/link/?req=doc&amp;base=RLAW049&amp;n=168177" TargetMode="External"/><Relationship Id="rId21" Type="http://schemas.openxmlformats.org/officeDocument/2006/relationships/hyperlink" Target="https://login.consultant.ru/link/?req=doc&amp;base=RLAW049&amp;n=168764" TargetMode="External"/><Relationship Id="rId22" Type="http://schemas.openxmlformats.org/officeDocument/2006/relationships/hyperlink" Target="https://login.consultant.ru/link/?req=doc&amp;base=RLAW049&amp;n=173204" TargetMode="External"/><Relationship Id="rId23" Type="http://schemas.openxmlformats.org/officeDocument/2006/relationships/hyperlink" Target="https://login.consultant.ru/link/?req=doc&amp;base=RLAW049&amp;n=181811&amp;dst=100005" TargetMode="External"/><Relationship Id="rId24" Type="http://schemas.openxmlformats.org/officeDocument/2006/relationships/hyperlink" Target="https://login.consultant.ru/link/?req=doc&amp;base=RLAW049&amp;n=181811&amp;dst=100005" TargetMode="External"/><Relationship Id="rId25" Type="http://schemas.openxmlformats.org/officeDocument/2006/relationships/hyperlink" Target="https://login.consultant.ru/link/?req=doc&amp;base=LAW&amp;n=2875" TargetMode="External"/><Relationship Id="rId26" Type="http://schemas.openxmlformats.org/officeDocument/2006/relationships/hyperlink" Target="https://login.consultant.ru/link/?req=doc&amp;base=RLAW049&amp;n=180431&amp;dst=236" TargetMode="External"/><Relationship Id="rId27" Type="http://schemas.openxmlformats.org/officeDocument/2006/relationships/hyperlink" Target="https://login.consultant.ru/link/?req=doc&amp;base=LAW&amp;n=483022&amp;dst=254" TargetMode="External"/><Relationship Id="rId28" Type="http://schemas.openxmlformats.org/officeDocument/2006/relationships/hyperlink" Target="https://login.consultant.ru/link/?req=doc&amp;base=LAW&amp;n=483022&amp;dst=261" TargetMode="External"/><Relationship Id="rId29" Type="http://schemas.openxmlformats.org/officeDocument/2006/relationships/hyperlink" Target="https://login.consultant.ru/link/?req=doc&amp;base=LAW&amp;n=483022&amp;dst=254" TargetMode="External"/><Relationship Id="rId30" Type="http://schemas.openxmlformats.org/officeDocument/2006/relationships/hyperlink" Target="https://login.consultant.ru/link/?req=doc&amp;base=LAW&amp;n=483022&amp;dst=26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 ???????? ? ??????????? ????????????? ??????? ?? 18.12.2024 N 2702-???(???. ?? 14.03.2025)&amp;quot;? ???????? ?????????? ???????? ?? ?????????? ?????? ?????????????? ???????????, ?? ?????????? ???????????????? (??????????????) ????????????&amp;quot;</dc:title>
  <dc:creator/>
  <cp:lastModifiedBy/>
</cp:coreProperties>
</file>