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Tahoma" w:hAnsi="Tahoma" w:eastAsia="Tahoma" w:cs="Tahoma"/>
          <w:b w:val="0"/>
          <w:bCs w:val="0"/>
          <w:i w:val="0"/>
          <w:iCs w:val="0"/>
          <w:strike w:val="0"/>
          <w:color w:val="auto"/>
          <w:sz w:val="20"/>
          <w:szCs w:val="20"/>
          <w:lang w:val="ru-RU" w:bidi="zh-CN"/>
        </w:rPr>
        <w:t xml:space="preserve">Документ предоставлен </w:t>
      </w:r>
      <w:hyperlink r:id="rId8">
        <w:r>
          <w:rPr>
            <w:rFonts w:ascii="Tahoma" w:hAnsi="Tahoma" w:eastAsia="Tahoma" w:cs="Tahoma"/>
            <w:b w:val="0"/>
            <w:bCs w:val="0"/>
            <w:i w:val="0"/>
            <w:iCs w:val="0"/>
            <w:strike w:val="0"/>
            <w:color w:val="0000ff"/>
            <w:sz w:val="20"/>
            <w:szCs w:val="20"/>
            <w:lang w:val="ru-RU" w:bidi="zh-CN"/>
          </w:rPr>
          <w:t xml:space="preserve">КонсультантПлюс</w:t>
        </w:r>
      </w:hyperlink>
      <w:r>
        <w:rPr>
          <w:rFonts w:ascii="Tahoma" w:hAnsi="Tahoma" w:eastAsia="Tahoma" w:cs="Tahoma"/>
          <w:b w:val="0"/>
          <w:bCs w:val="0"/>
          <w:i w:val="0"/>
          <w:iCs w:val="0"/>
          <w:strike w:val="0"/>
          <w:color w:val="auto"/>
          <w:sz w:val="20"/>
          <w:szCs w:val="20"/>
          <w:lang w:val="ru-RU" w:bidi="zh-CN"/>
        </w:rPr>
        <w:br/>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ПРАВИТЕЛЬСТВО НОВОСИБИРСКОЙ ОБЛАСТИ</w:t>
      </w:r>
    </w:p>
    <w:p>
      <w:pPr>
        <w:pStyle w:val="Style_23"/>
        <w:spacing w:before="0" w:after="0" w:line="240" w:lineRule="auto"/>
        <w:ind w:left="0" w:firstLine="0"/>
        <w:jc w:val="center"/>
        <w:rPr>
          <w:rFonts w:ascii="Arial" w:hAnsi="Arial" w:eastAsia="Arial" w:cs="Arial"/>
          <w:b/>
          <w:bCs/>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ПОСТАНОВЛЕНИЕ</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от 17 ноября 2021 г. N 462-п</w:t>
      </w:r>
    </w:p>
    <w:p>
      <w:pPr>
        <w:pStyle w:val="Style_23"/>
        <w:spacing w:before="0" w:after="0" w:line="240" w:lineRule="auto"/>
        <w:ind w:left="0" w:firstLine="0"/>
        <w:jc w:val="center"/>
        <w:rPr>
          <w:rFonts w:ascii="Arial" w:hAnsi="Arial" w:eastAsia="Arial" w:cs="Arial"/>
          <w:b/>
          <w:bCs/>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ОБ УТВЕРЖДЕНИИ ГОСУДАРСТВЕННОЙ ПРОГРАММЫ НОВОСИБИРСКОЙ</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ОБЛАСТИ "СОЦИАЛЬНАЯ ПОДДЕРЖКА В НОВОСИБИРСКОЙ ОБЛАСТИ"</w:t>
      </w:r>
    </w:p>
    <w:p>
      <w:pPr>
        <w:pStyle w:val="Style_23"/>
        <w:spacing w:before="0" w:after="0" w:line="240" w:lineRule="auto"/>
        <w:jc w:val="left"/>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righ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Приложение N 4</w:t>
      </w:r>
    </w:p>
    <w:p>
      <w:pPr>
        <w:pStyle w:val="Style_23"/>
        <w:spacing w:before="0" w:after="0" w:line="240" w:lineRule="auto"/>
        <w:ind w:left="0" w:firstLine="0"/>
        <w:jc w:val="righ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к постановлению</w:t>
      </w:r>
    </w:p>
    <w:p>
      <w:pPr>
        <w:pStyle w:val="Style_23"/>
        <w:spacing w:before="0" w:after="0" w:line="240" w:lineRule="auto"/>
        <w:ind w:left="0" w:firstLine="0"/>
        <w:jc w:val="righ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Правительства Новосибирской области</w:t>
      </w:r>
    </w:p>
    <w:p>
      <w:pPr>
        <w:pStyle w:val="Style_23"/>
        <w:spacing w:before="0" w:after="0" w:line="240" w:lineRule="auto"/>
        <w:ind w:left="0" w:firstLine="0"/>
        <w:jc w:val="righ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17.11.2021 N 462-п</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bookmarkStart w:id="1" w:name="Par1093"/>
      <w:bookmarkEnd w:id="1"/>
      <w:r>
        <w:rPr>
          <w:rFonts w:ascii="Arial" w:hAnsi="Arial" w:eastAsia="Arial" w:cs="Arial"/>
          <w:b/>
          <w:bCs/>
          <w:i w:val="0"/>
          <w:iCs w:val="0"/>
          <w:strike w:val="0"/>
          <w:color w:val="auto"/>
          <w:sz w:val="16"/>
          <w:szCs w:val="16"/>
          <w:lang w:val="ru-RU" w:bidi="zh-CN"/>
        </w:rPr>
        <w:t xml:space="preserve">ПОРЯДОК</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ОПРЕДЕЛЕНИЯ ОБЪЕМА И ПРЕДОСТАВЛЕНИЯ СУБСИДИЙ НЕКОММЕРЧЕСКИМ</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ОРГАНИЗАЦИЯМ, НЕ ЯВЛЯЮЩИМСЯ ГОСУДАРСТВЕННЫМИ</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(МУНИЦИПАЛЬНЫМИ) УЧРЕЖДЕНИЯМИ, В РАМКАХ РЕАЛИЗАЦИИ</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ГОСУДАРСТВЕННОЙ ПРОГРАММЫ НОВОСИБИРСКОЙ ОБЛАСТИ</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"СОЦИАЛЬНАЯ ПОДДЕРЖКА В НОВОСИБИРСКОЙ ОБЛАСТИ"</w:t>
      </w:r>
    </w:p>
    <w:p>
      <w:pPr>
        <w:pStyle w:val="Style_23"/>
        <w:spacing w:before="0" w:after="0" w:line="240" w:lineRule="auto"/>
        <w:jc w:val="left"/>
        <w:rPr>
          <w:rFonts w:ascii="Times New Roman" w:hAnsi="Times New Roman" w:eastAsia="Times New Roman" w:cs="Times New Roman"/>
          <w:b w:val="0"/>
          <w:bCs w:val="0"/>
          <w:i w:val="0"/>
          <w:iCs w:val="0"/>
          <w:strike w:val="0"/>
          <w:color w:val="auto"/>
          <w:sz w:val="24"/>
          <w:szCs w:val="24"/>
          <w:lang w:val="ru-RU" w:bidi="zh-CN"/>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top w:w="0" w:type="dxa"/>
          <w:right w:w="0" w:type="dxa"/>
          <w:bottom w:w="0" w:type="dxa"/>
        </w:tblCellMar>
      </w:tblPr>
      <w:tblGrid>
        <w:gridCol w:w="60"/>
        <w:gridCol w:w="112"/>
        <w:gridCol w:w="9922"/>
        <w:gridCol w:w="113"/>
      </w:tblGrid>
      <w:tr>
        <w:trPr>
          <w:jc w:val="left"/>
        </w:trPr>
        <w:tc>
          <w:tcPr>
            <w:tcW w:w="60" w:type="dxa"/>
            <w:shd w:val="clear" w:fill="ced3f1"/>
            <w:vAlign w:val="top"/>
          </w:tcPr>
          <w:p>
            <w:pPr>
              <w:pStyle w:val="Style_23"/>
              <w:spacing w:before="0" w:after="0" w:line="240" w:lineRule="auto"/>
              <w:jc w:val="left"/>
              <w:rPr>
                <w:rFonts w:ascii="Arial" w:hAnsi="Arial" w:eastAsia="Arial" w:cs="Arial"/>
                <w:b w:val="0"/>
                <w:bCs w:val="0"/>
                <w:i w:val="0"/>
                <w:iCs w:val="0"/>
                <w:strike w:val="0"/>
                <w:color w:val="auto"/>
                <w:sz w:val="16"/>
                <w:szCs w:val="16"/>
                <w:lang w:val="ru-RU" w:bidi="zh-CN"/>
              </w:rPr>
            </w:pPr>
          </w:p>
        </w:tc>
        <w:tc>
          <w:tcPr>
            <w:tcW w:w="112" w:type="dxa"/>
            <w:shd w:val="clear" w:fill="f4f3f8"/>
            <w:vAlign w:val="top"/>
          </w:tcPr>
          <w:p>
            <w:pPr>
              <w:pStyle w:val="Style_23"/>
              <w:spacing w:before="0" w:after="0" w:line="240" w:lineRule="auto"/>
              <w:jc w:val="left"/>
              <w:rPr>
                <w:rFonts w:ascii="Arial" w:hAnsi="Arial" w:eastAsia="Arial" w:cs="Arial"/>
                <w:b w:val="0"/>
                <w:bCs w:val="0"/>
                <w:i w:val="0"/>
                <w:iCs w:val="0"/>
                <w:strike w:val="0"/>
                <w:color w:val="auto"/>
                <w:sz w:val="16"/>
                <w:szCs w:val="16"/>
                <w:lang w:val="ru-RU" w:bidi="zh-CN"/>
              </w:rPr>
            </w:pPr>
          </w:p>
        </w:tc>
        <w:tc>
          <w:tcPr>
            <w:tcW w:w="9922" w:type="dxa"/>
            <w:shd w:val="clear" w:fill="f4f3f8"/>
            <w:tcMar>
              <w:top w:w="113" w:type="dxa"/>
              <w:bottom w:w="113" w:type="dxa"/>
            </w:tcMar>
            <w:vAlign w:val="top"/>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392c69"/>
                <w:sz w:val="16"/>
                <w:szCs w:val="16"/>
                <w:lang w:val="ru-RU" w:bidi="zh-CN"/>
              </w:rPr>
              <w:t xml:space="preserve">Список изменяющих документов</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392c69"/>
                <w:sz w:val="16"/>
                <w:szCs w:val="16"/>
                <w:lang w:val="ru-RU" w:bidi="zh-CN"/>
              </w:rPr>
              <w:t xml:space="preserve">(в ред. </w:t>
            </w:r>
            <w:hyperlink r:id="rId9">
              <w:r>
                <w:rPr>
                  <w:rFonts w:ascii="Arial" w:hAnsi="Arial" w:eastAsia="Arial" w:cs="Arial"/>
                  <w:b w:val="0"/>
                  <w:bCs w:val="0"/>
                  <w:i w:val="0"/>
                  <w:iCs w:val="0"/>
                  <w:strike w:val="0"/>
                  <w:color w:val="0000ff"/>
                  <w:sz w:val="16"/>
                  <w:szCs w:val="16"/>
                  <w:lang w:val="ru-RU" w:bidi="zh-CN"/>
                </w:rPr>
                <w:t xml:space="preserve">постановления</w:t>
              </w:r>
            </w:hyperlink>
            <w:r>
              <w:rPr>
                <w:rFonts w:ascii="Arial" w:hAnsi="Arial" w:eastAsia="Arial" w:cs="Arial"/>
                <w:b w:val="0"/>
                <w:bCs w:val="0"/>
                <w:i w:val="0"/>
                <w:iCs w:val="0"/>
                <w:strike w:val="0"/>
                <w:color w:val="392c69"/>
                <w:sz w:val="16"/>
                <w:szCs w:val="16"/>
                <w:lang w:val="ru-RU" w:bidi="zh-CN"/>
              </w:rPr>
              <w:t xml:space="preserve"> Правительства Новосибирской области</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392c69"/>
                <w:sz w:val="16"/>
                <w:szCs w:val="16"/>
                <w:lang w:val="ru-RU" w:bidi="zh-CN"/>
              </w:rPr>
              <w:t xml:space="preserve">от 28.08.2024 N 405-п)</w:t>
            </w:r>
          </w:p>
        </w:tc>
        <w:tc>
          <w:tcPr>
            <w:tcW w:w="113" w:type="dxa"/>
            <w:shd w:val="clear" w:fill="f4f3f8"/>
            <w:vAlign w:val="top"/>
          </w:tcPr>
          <w:p>
            <w:pPr>
              <w:pStyle w:val="Style_23"/>
              <w:spacing w:before="0" w:after="0" w:line="240" w:lineRule="auto"/>
              <w:ind w:left="0" w:firstLine="0"/>
              <w:jc w:val="center"/>
              <w:rPr>
                <w:rFonts w:ascii="Arial" w:hAnsi="Arial" w:eastAsia="Arial" w:cs="Arial"/>
                <w:b w:val="0"/>
                <w:bCs w:val="0"/>
                <w:i w:val="0"/>
                <w:iCs w:val="0"/>
                <w:strike w:val="0"/>
                <w:color w:val="392c69"/>
                <w:sz w:val="16"/>
                <w:szCs w:val="16"/>
                <w:lang w:val="ru-RU" w:bidi="zh-CN"/>
              </w:rPr>
            </w:pPr>
          </w:p>
        </w:tc>
      </w:tr>
    </w:tbl>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I. Общие положения</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Настоящий порядок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w:t>
      </w:r>
      <w:hyperlink r:id="rId10">
        <w:r>
          <w:rPr>
            <w:rFonts w:ascii="Arial" w:hAnsi="Arial" w:eastAsia="Arial" w:cs="Arial"/>
            <w:b w:val="0"/>
            <w:bCs w:val="0"/>
            <w:i w:val="0"/>
            <w:iCs w:val="0"/>
            <w:strike w:val="0"/>
            <w:color w:val="0000ff"/>
            <w:sz w:val="16"/>
            <w:szCs w:val="16"/>
            <w:lang w:val="ru-RU" w:bidi="zh-CN"/>
          </w:rPr>
          <w:t xml:space="preserve">программы</w:t>
        </w:r>
      </w:hyperlink>
      <w:r>
        <w:rPr>
          <w:rFonts w:ascii="Arial" w:hAnsi="Arial" w:eastAsia="Arial" w:cs="Arial"/>
          <w:b w:val="0"/>
          <w:bCs w:val="0"/>
          <w:i w:val="0"/>
          <w:iCs w:val="0"/>
          <w:strike w:val="0"/>
          <w:color w:val="auto"/>
          <w:sz w:val="16"/>
          <w:szCs w:val="16"/>
          <w:lang w:val="ru-RU" w:bidi="zh-CN"/>
        </w:rPr>
        <w:t xml:space="preserve"> Новосибирской области "Социальная поддержка в Новосибирской области" (далее - Порядок) разработан в соответствии со </w:t>
      </w:r>
      <w:hyperlink r:id="rId11">
        <w:r>
          <w:rPr>
            <w:rFonts w:ascii="Arial" w:hAnsi="Arial" w:eastAsia="Arial" w:cs="Arial"/>
            <w:b w:val="0"/>
            <w:bCs w:val="0"/>
            <w:i w:val="0"/>
            <w:iCs w:val="0"/>
            <w:strike w:val="0"/>
            <w:color w:val="0000ff"/>
            <w:sz w:val="16"/>
            <w:szCs w:val="16"/>
            <w:lang w:val="ru-RU" w:bidi="zh-CN"/>
          </w:rPr>
          <w:t xml:space="preserve">статьей 78.1</w:t>
        </w:r>
      </w:hyperlink>
      <w:r>
        <w:rPr>
          <w:rFonts w:ascii="Arial" w:hAnsi="Arial" w:eastAsia="Arial" w:cs="Arial"/>
          <w:b w:val="0"/>
          <w:bCs w:val="0"/>
          <w:i w:val="0"/>
          <w:iCs w:val="0"/>
          <w:strike w:val="0"/>
          <w:color w:val="auto"/>
          <w:sz w:val="16"/>
          <w:szCs w:val="16"/>
          <w:lang w:val="ru-RU" w:bidi="zh-CN"/>
        </w:rPr>
        <w:t xml:space="preserve"> Бюджетного кодекса Российской Федерации, </w:t>
      </w:r>
      <w:hyperlink r:id="rId12">
        <w:r>
          <w:rPr>
            <w:rFonts w:ascii="Arial" w:hAnsi="Arial" w:eastAsia="Arial" w:cs="Arial"/>
            <w:b w:val="0"/>
            <w:bCs w:val="0"/>
            <w:i w:val="0"/>
            <w:iCs w:val="0"/>
            <w:strike w:val="0"/>
            <w:color w:val="0000ff"/>
            <w:sz w:val="16"/>
            <w:szCs w:val="16"/>
            <w:lang w:val="ru-RU" w:bidi="zh-CN"/>
          </w:rPr>
          <w:t xml:space="preserve">постановлением</w:t>
        </w:r>
      </w:hyperlink>
      <w:r>
        <w:rPr>
          <w:rFonts w:ascii="Arial" w:hAnsi="Arial" w:eastAsia="Arial" w:cs="Arial"/>
          <w:b w:val="0"/>
          <w:bCs w:val="0"/>
          <w:i w:val="0"/>
          <w:iCs w:val="0"/>
          <w:strike w:val="0"/>
          <w:color w:val="auto"/>
          <w:sz w:val="16"/>
          <w:szCs w:val="16"/>
          <w:lang w:val="ru-RU" w:bidi="zh-CN"/>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процедуру определения объема и предоставления субсидий из областного бюджета Новосибирской области.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2" w:name="Par1106"/>
      <w:bookmarkEnd w:id="2"/>
      <w:r>
        <w:rPr>
          <w:rFonts w:ascii="Arial" w:hAnsi="Arial" w:eastAsia="Arial" w:cs="Arial"/>
          <w:b w:val="0"/>
          <w:bCs w:val="0"/>
          <w:i w:val="0"/>
          <w:iCs w:val="0"/>
          <w:strike w:val="0"/>
          <w:color w:val="auto"/>
          <w:sz w:val="16"/>
          <w:szCs w:val="16"/>
          <w:lang w:val="ru-RU" w:bidi="zh-CN"/>
        </w:rPr>
        <w:t xml:space="preserve">2. Целью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w:t>
      </w:r>
      <w:hyperlink r:id="rId13">
        <w:r>
          <w:rPr>
            <w:rFonts w:ascii="Arial" w:hAnsi="Arial" w:eastAsia="Arial" w:cs="Arial"/>
            <w:b w:val="0"/>
            <w:bCs w:val="0"/>
            <w:i w:val="0"/>
            <w:iCs w:val="0"/>
            <w:strike w:val="0"/>
            <w:color w:val="0000ff"/>
            <w:sz w:val="16"/>
            <w:szCs w:val="16"/>
            <w:lang w:val="ru-RU" w:bidi="zh-CN"/>
          </w:rPr>
          <w:t xml:space="preserve">программы</w:t>
        </w:r>
      </w:hyperlink>
      <w:r>
        <w:rPr>
          <w:rFonts w:ascii="Arial" w:hAnsi="Arial" w:eastAsia="Arial" w:cs="Arial"/>
          <w:b w:val="0"/>
          <w:bCs w:val="0"/>
          <w:i w:val="0"/>
          <w:iCs w:val="0"/>
          <w:strike w:val="0"/>
          <w:color w:val="auto"/>
          <w:sz w:val="16"/>
          <w:szCs w:val="16"/>
          <w:lang w:val="ru-RU" w:bidi="zh-CN"/>
        </w:rPr>
        <w:t xml:space="preserve"> Новосибирской области "Социальная поддержка в Новосибирской области" (далее - субсидия) является финансовое обеспечение затрат некоммерческих организаций, не являющихся государственными (муниципальными) учреждениями, связанных с выполнением мероприятий (результатов) государственной программы Новосибирской области "Социальная поддержка в Новосибирской области" (далее - государственная программа).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 Функции главного распорядителя бюджетных средств осуществляет министерство труда и социального развития Новосибирской области (далее - министерство), до которого в соответствии с бюджетным законодательством Новосибирской области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Предоставление субсидии осуществляется министерством в соответствии со сводной бюджетной росписью и кассовым планом областного бюджета Новосибирской области в пределах лимитов бюджетных обязательств, доведенных министерству на соответствующий финансовый год на указанные цели.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 Получателями субсидии являются некоммерческие организации, не являющиеся государственными (муниципальными) учреждениями, направившие заявки на участие в отборе и признанные победителями по результатам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 Министерство обеспечивает размещение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который является частью государственной интегрированной информационной системы управления общественными финансами "Электронный бюджет" (далее - ГИИС "Электронный бюджет"), информации о субсидиях в порядке, установленном </w:t>
      </w:r>
      <w:hyperlink r:id="rId14">
        <w:r>
          <w:rPr>
            <w:rFonts w:ascii="Arial" w:hAnsi="Arial" w:eastAsia="Arial" w:cs="Arial"/>
            <w:b w:val="0"/>
            <w:bCs w:val="0"/>
            <w:i w:val="0"/>
            <w:iCs w:val="0"/>
            <w:strike w:val="0"/>
            <w:color w:val="0000ff"/>
            <w:sz w:val="16"/>
            <w:szCs w:val="16"/>
            <w:lang w:val="ru-RU" w:bidi="zh-CN"/>
          </w:rPr>
          <w:t xml:space="preserve">приказом</w:t>
        </w:r>
      </w:hyperlink>
      <w:r>
        <w:rPr>
          <w:rFonts w:ascii="Arial" w:hAnsi="Arial" w:eastAsia="Arial" w:cs="Arial"/>
          <w:b w:val="0"/>
          <w:bCs w:val="0"/>
          <w:i w:val="0"/>
          <w:iCs w:val="0"/>
          <w:strike w:val="0"/>
          <w:color w:val="auto"/>
          <w:sz w:val="16"/>
          <w:szCs w:val="16"/>
          <w:lang w:val="ru-RU" w:bidi="zh-CN"/>
        </w:rPr>
        <w:t xml:space="preserve">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II. Условия и порядок предоставления субсидий</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3" w:name="Par1114"/>
      <w:bookmarkEnd w:id="3"/>
      <w:r>
        <w:rPr>
          <w:rFonts w:ascii="Arial" w:hAnsi="Arial" w:eastAsia="Arial" w:cs="Arial"/>
          <w:b w:val="0"/>
          <w:bCs w:val="0"/>
          <w:i w:val="0"/>
          <w:iCs w:val="0"/>
          <w:strike w:val="0"/>
          <w:color w:val="auto"/>
          <w:sz w:val="16"/>
          <w:szCs w:val="16"/>
          <w:lang w:val="ru-RU" w:bidi="zh-CN"/>
        </w:rPr>
        <w:t xml:space="preserve">6. Требования, которым должен соответствовать получатель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на дату заключения соглашения о предоставлении субсидии (далее - Соглашение):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в) не находится в составляемых в рамках реализации полномочий, предусмотренных </w:t>
      </w:r>
      <w:hyperlink r:id="rId15">
        <w:r>
          <w:rPr>
            <w:rFonts w:ascii="Arial" w:hAnsi="Arial" w:eastAsia="Arial" w:cs="Arial"/>
            <w:b w:val="0"/>
            <w:bCs w:val="0"/>
            <w:i w:val="0"/>
            <w:iCs w:val="0"/>
            <w:strike w:val="0"/>
            <w:color w:val="0000ff"/>
            <w:sz w:val="16"/>
            <w:szCs w:val="16"/>
            <w:lang w:val="ru-RU" w:bidi="zh-CN"/>
          </w:rPr>
          <w:t xml:space="preserve">главой VII</w:t>
        </w:r>
      </w:hyperlink>
      <w:r>
        <w:rPr>
          <w:rFonts w:ascii="Arial" w:hAnsi="Arial" w:eastAsia="Arial" w:cs="Arial"/>
          <w:b w:val="0"/>
          <w:bCs w:val="0"/>
          <w:i w:val="0"/>
          <w:iCs w:val="0"/>
          <w:strike w:val="0"/>
          <w:color w:val="auto"/>
          <w:sz w:val="16"/>
          <w:szCs w:val="16"/>
          <w:lang w:val="ru-RU" w:bidi="zh-C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г) не получает средства из областного бюджета Новосибирской области на основании иных нормативных правовых актов Новосибирской области на цель, указанную в </w:t>
      </w:r>
      <w:hyperlink r:id="rId16">
        <w:r>
          <w:rPr>
            <w:rFonts w:ascii="Arial" w:hAnsi="Arial" w:eastAsia="Arial" w:cs="Arial"/>
            <w:b w:val="0"/>
            <w:bCs w:val="0"/>
            <w:i w:val="0"/>
            <w:iCs w:val="0"/>
            <w:strike w:val="0"/>
            <w:color w:val="0000ff"/>
            <w:sz w:val="16"/>
            <w:szCs w:val="16"/>
            <w:lang w:val="ru-RU" w:bidi="zh-CN"/>
          </w:rPr>
          <w:t xml:space="preserve">пункте 2</w:t>
        </w:r>
      </w:hyperlink>
      <w:r>
        <w:rPr>
          <w:rFonts w:ascii="Arial" w:hAnsi="Arial" w:eastAsia="Arial" w:cs="Arial"/>
          <w:b w:val="0"/>
          <w:bCs w:val="0"/>
          <w:i w:val="0"/>
          <w:iCs w:val="0"/>
          <w:strike w:val="0"/>
          <w:color w:val="auto"/>
          <w:sz w:val="16"/>
          <w:szCs w:val="16"/>
          <w:lang w:val="ru-RU" w:bidi="zh-CN"/>
        </w:rPr>
        <w:t xml:space="preserve"> настоящего Порядка;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д) не является иностранным агентом в соответствии с Федеральным </w:t>
      </w:r>
      <w:hyperlink r:id="rId17">
        <w:r>
          <w:rPr>
            <w:rFonts w:ascii="Arial" w:hAnsi="Arial" w:eastAsia="Arial" w:cs="Arial"/>
            <w:b w:val="0"/>
            <w:bCs w:val="0"/>
            <w:i w:val="0"/>
            <w:iCs w:val="0"/>
            <w:strike w:val="0"/>
            <w:color w:val="0000ff"/>
            <w:sz w:val="16"/>
            <w:szCs w:val="16"/>
            <w:lang w:val="ru-RU" w:bidi="zh-CN"/>
          </w:rPr>
          <w:t xml:space="preserve">законом</w:t>
        </w:r>
      </w:hyperlink>
      <w:r>
        <w:rPr>
          <w:rFonts w:ascii="Arial" w:hAnsi="Arial" w:eastAsia="Arial" w:cs="Arial"/>
          <w:b w:val="0"/>
          <w:bCs w:val="0"/>
          <w:i w:val="0"/>
          <w:iCs w:val="0"/>
          <w:strike w:val="0"/>
          <w:color w:val="auto"/>
          <w:sz w:val="16"/>
          <w:szCs w:val="16"/>
          <w:lang w:val="ru-RU" w:bidi="zh-CN"/>
        </w:rPr>
        <w:t xml:space="preserve"> от 14.07.2022 N 255-ФЗ "О контроле за деятельностью лиц, находящихся под иностранным влиянием";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е)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областным бюджетом Новосибирской области;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ж)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4" w:name="Par1123"/>
      <w:bookmarkEnd w:id="4"/>
      <w:r>
        <w:rPr>
          <w:rFonts w:ascii="Arial" w:hAnsi="Arial" w:eastAsia="Arial" w:cs="Arial"/>
          <w:b w:val="0"/>
          <w:bCs w:val="0"/>
          <w:i w:val="0"/>
          <w:iCs w:val="0"/>
          <w:strike w:val="0"/>
          <w:color w:val="auto"/>
          <w:sz w:val="16"/>
          <w:szCs w:val="16"/>
          <w:lang w:val="ru-RU" w:bidi="zh-CN"/>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на дату не ранее срока подачи заявки на едином налоговом счете должна отсутствовать или не превышать размер, определенный </w:t>
      </w:r>
      <w:hyperlink r:id="rId18">
        <w:r>
          <w:rPr>
            <w:rFonts w:ascii="Arial" w:hAnsi="Arial" w:eastAsia="Arial" w:cs="Arial"/>
            <w:b w:val="0"/>
            <w:bCs w:val="0"/>
            <w:i w:val="0"/>
            <w:iCs w:val="0"/>
            <w:strike w:val="0"/>
            <w:color w:val="0000ff"/>
            <w:sz w:val="16"/>
            <w:szCs w:val="16"/>
            <w:lang w:val="ru-RU" w:bidi="zh-CN"/>
          </w:rPr>
          <w:t xml:space="preserve">пунктом 3 статьи 47</w:t>
        </w:r>
      </w:hyperlink>
      <w:r>
        <w:rPr>
          <w:rFonts w:ascii="Arial" w:hAnsi="Arial" w:eastAsia="Arial" w:cs="Arial"/>
          <w:b w:val="0"/>
          <w:bCs w:val="0"/>
          <w:i w:val="0"/>
          <w:iCs w:val="0"/>
          <w:strike w:val="0"/>
          <w:color w:val="auto"/>
          <w:sz w:val="16"/>
          <w:szCs w:val="16"/>
          <w:lang w:val="ru-RU" w:bidi="zh-C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7. Проверка получателя субсидии на соответствие требованиям, указанным в </w:t>
      </w:r>
      <w:hyperlink r:id="rId19">
        <w:r>
          <w:rPr>
            <w:rFonts w:ascii="Arial" w:hAnsi="Arial" w:eastAsia="Arial" w:cs="Arial"/>
            <w:b w:val="0"/>
            <w:bCs w:val="0"/>
            <w:i w:val="0"/>
            <w:iCs w:val="0"/>
            <w:strike w:val="0"/>
            <w:color w:val="0000ff"/>
            <w:sz w:val="16"/>
            <w:szCs w:val="16"/>
            <w:lang w:val="ru-RU" w:bidi="zh-CN"/>
          </w:rPr>
          <w:t xml:space="preserve">пункте 6</w:t>
        </w:r>
      </w:hyperlink>
      <w:r>
        <w:rPr>
          <w:rFonts w:ascii="Arial" w:hAnsi="Arial" w:eastAsia="Arial" w:cs="Arial"/>
          <w:b w:val="0"/>
          <w:bCs w:val="0"/>
          <w:i w:val="0"/>
          <w:iCs w:val="0"/>
          <w:strike w:val="0"/>
          <w:color w:val="auto"/>
          <w:sz w:val="16"/>
          <w:szCs w:val="16"/>
          <w:lang w:val="ru-RU" w:bidi="zh-CN"/>
        </w:rPr>
        <w:t xml:space="preserve"> настоящего Порядка, осуществляется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5" w:name="Par1126"/>
      <w:bookmarkEnd w:id="5"/>
      <w:r>
        <w:rPr>
          <w:rFonts w:ascii="Arial" w:hAnsi="Arial" w:eastAsia="Arial" w:cs="Arial"/>
          <w:b w:val="0"/>
          <w:bCs w:val="0"/>
          <w:i w:val="0"/>
          <w:iCs w:val="0"/>
          <w:strike w:val="0"/>
          <w:color w:val="auto"/>
          <w:sz w:val="16"/>
          <w:szCs w:val="16"/>
          <w:lang w:val="ru-RU" w:bidi="zh-CN"/>
        </w:rPr>
        <w:t xml:space="preserve">8. Подтверждение соответствия получателя субсидии требованиям, установленным </w:t>
      </w:r>
      <w:hyperlink r:id="rId20">
        <w:r>
          <w:rPr>
            <w:rFonts w:ascii="Arial" w:hAnsi="Arial" w:eastAsia="Arial" w:cs="Arial"/>
            <w:b w:val="0"/>
            <w:bCs w:val="0"/>
            <w:i w:val="0"/>
            <w:iCs w:val="0"/>
            <w:strike w:val="0"/>
            <w:color w:val="0000ff"/>
            <w:sz w:val="16"/>
            <w:szCs w:val="16"/>
            <w:lang w:val="ru-RU" w:bidi="zh-CN"/>
          </w:rPr>
          <w:t xml:space="preserve">пунктом 6</w:t>
        </w:r>
      </w:hyperlink>
      <w:r>
        <w:rPr>
          <w:rFonts w:ascii="Arial" w:hAnsi="Arial" w:eastAsia="Arial" w:cs="Arial"/>
          <w:b w:val="0"/>
          <w:bCs w:val="0"/>
          <w:i w:val="0"/>
          <w:iCs w:val="0"/>
          <w:strike w:val="0"/>
          <w:color w:val="auto"/>
          <w:sz w:val="16"/>
          <w:szCs w:val="16"/>
          <w:lang w:val="ru-RU" w:bidi="zh-CN"/>
        </w:rP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получателем субсидии отметок о соответствии указанным требованиям посредством заполнения соответствующих экранных форм веб-интерфейса ГИИС "Электронный бюджет".</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9. Формирование запросов о проверке сведений о получателе субсидии в системе межведомственного электронного взаимодействия осуществляется в течение трех рабочих дней с даты подписания протокола вскрытия заявок о предоставлении субсидии (далее - заявка).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10. Министерство на стадии проверки документов получателя субсидии, представленных в соответствии с </w:t>
      </w:r>
      <w:hyperlink r:id="rId21">
        <w:r>
          <w:rPr>
            <w:rFonts w:ascii="Arial" w:hAnsi="Arial" w:eastAsia="Arial" w:cs="Arial"/>
            <w:b w:val="0"/>
            <w:bCs w:val="0"/>
            <w:i w:val="0"/>
            <w:iCs w:val="0"/>
            <w:strike w:val="0"/>
            <w:color w:val="0000ff"/>
            <w:sz w:val="16"/>
            <w:szCs w:val="16"/>
            <w:lang w:val="ru-RU" w:bidi="zh-CN"/>
          </w:rPr>
          <w:t xml:space="preserve">пунктом 6</w:t>
        </w:r>
      </w:hyperlink>
      <w:r>
        <w:rPr>
          <w:rFonts w:ascii="Arial" w:hAnsi="Arial" w:eastAsia="Arial" w:cs="Arial"/>
          <w:b w:val="0"/>
          <w:bCs w:val="0"/>
          <w:i w:val="0"/>
          <w:iCs w:val="0"/>
          <w:strike w:val="0"/>
          <w:color w:val="auto"/>
          <w:sz w:val="16"/>
          <w:szCs w:val="16"/>
          <w:lang w:val="ru-RU" w:bidi="zh-CN"/>
        </w:rPr>
        <w:t xml:space="preserve"> настоящего Порядка, в рамках межведомственного информационного взаимодействия запрашивает в соответствующих органах и организациях сведения о наличии (отсутствии) задолженности по уплате налогов, сборов, пеней, штрафов.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6" w:name="Par1129"/>
      <w:bookmarkEnd w:id="6"/>
      <w:r>
        <w:rPr>
          <w:rFonts w:ascii="Arial" w:hAnsi="Arial" w:eastAsia="Arial" w:cs="Arial"/>
          <w:b w:val="0"/>
          <w:bCs w:val="0"/>
          <w:i w:val="0"/>
          <w:iCs w:val="0"/>
          <w:strike w:val="0"/>
          <w:color w:val="auto"/>
          <w:sz w:val="16"/>
          <w:szCs w:val="16"/>
          <w:lang w:val="ru-RU" w:bidi="zh-CN"/>
        </w:rPr>
        <w:t xml:space="preserve">11. Документ, подтверждающий соответствие получателя субсидии требованию, установленному в </w:t>
      </w:r>
      <w:hyperlink r:id="rId22">
        <w:r>
          <w:rPr>
            <w:rFonts w:ascii="Arial" w:hAnsi="Arial" w:eastAsia="Arial" w:cs="Arial"/>
            <w:b w:val="0"/>
            <w:bCs w:val="0"/>
            <w:i w:val="0"/>
            <w:iCs w:val="0"/>
            <w:strike w:val="0"/>
            <w:color w:val="0000ff"/>
            <w:sz w:val="16"/>
            <w:szCs w:val="16"/>
            <w:lang w:val="ru-RU" w:bidi="zh-CN"/>
          </w:rPr>
          <w:t xml:space="preserve">абзаце "з" подпункта 1 пункта 6</w:t>
        </w:r>
      </w:hyperlink>
      <w:r>
        <w:rPr>
          <w:rFonts w:ascii="Arial" w:hAnsi="Arial" w:eastAsia="Arial" w:cs="Arial"/>
          <w:b w:val="0"/>
          <w:bCs w:val="0"/>
          <w:i w:val="0"/>
          <w:iCs w:val="0"/>
          <w:strike w:val="0"/>
          <w:color w:val="auto"/>
          <w:sz w:val="16"/>
          <w:szCs w:val="16"/>
          <w:lang w:val="ru-RU" w:bidi="zh-CN"/>
        </w:rPr>
        <w:t xml:space="preserve"> настоящего Порядка, - выписку из реестра дисквалифицированных лиц, выданную налоговым органом по месту регистрации получателя субсидии, - получатель субсидии вправе представить по собственной инициативе.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12. Документ, представляемый получателем субсидии в соответствии с </w:t>
      </w:r>
      <w:hyperlink r:id="rId23">
        <w:r>
          <w:rPr>
            <w:rFonts w:ascii="Arial" w:hAnsi="Arial" w:eastAsia="Arial" w:cs="Arial"/>
            <w:b w:val="0"/>
            <w:bCs w:val="0"/>
            <w:i w:val="0"/>
            <w:iCs w:val="0"/>
            <w:strike w:val="0"/>
            <w:color w:val="0000ff"/>
            <w:sz w:val="16"/>
            <w:szCs w:val="16"/>
            <w:lang w:val="ru-RU" w:bidi="zh-CN"/>
          </w:rPr>
          <w:t xml:space="preserve">пунктом 11</w:t>
        </w:r>
      </w:hyperlink>
      <w:r>
        <w:rPr>
          <w:rFonts w:ascii="Arial" w:hAnsi="Arial" w:eastAsia="Arial" w:cs="Arial"/>
          <w:b w:val="0"/>
          <w:bCs w:val="0"/>
          <w:i w:val="0"/>
          <w:iCs w:val="0"/>
          <w:strike w:val="0"/>
          <w:color w:val="auto"/>
          <w:sz w:val="16"/>
          <w:szCs w:val="16"/>
          <w:lang w:val="ru-RU" w:bidi="zh-CN"/>
        </w:rPr>
        <w:t xml:space="preserve"> настоящего Порядка, должен быть составлен на русском языке и оформлен в печатном виде и (или) в форме электронного документа, подписанного усиленной квалифицированной электронной подписью.</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13. Ответственность за достоверность сведений, содержащихся в представленных получателем субсидии документах (сведениях), несет получатель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7" w:name="Par1132"/>
      <w:bookmarkEnd w:id="7"/>
      <w:r>
        <w:rPr>
          <w:rFonts w:ascii="Arial" w:hAnsi="Arial" w:eastAsia="Arial" w:cs="Arial"/>
          <w:b w:val="0"/>
          <w:bCs w:val="0"/>
          <w:i w:val="0"/>
          <w:iCs w:val="0"/>
          <w:strike w:val="0"/>
          <w:color w:val="auto"/>
          <w:sz w:val="16"/>
          <w:szCs w:val="16"/>
          <w:lang w:val="ru-RU" w:bidi="zh-CN"/>
        </w:rPr>
        <w:t xml:space="preserve">14. Размер субсидии определяется по формуле:</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Рс = Р</w:t>
      </w:r>
      <w:r>
        <w:rPr>
          <w:rFonts w:ascii="Arial" w:hAnsi="Arial" w:eastAsia="Arial" w:cs="Arial"/>
          <w:b w:val="0"/>
          <w:bCs w:val="0"/>
          <w:i w:val="0"/>
          <w:iCs w:val="0"/>
          <w:strike w:val="0"/>
          <w:color w:val="auto"/>
          <w:sz w:val="16"/>
          <w:szCs w:val="16"/>
          <w:vertAlign w:val="subscript"/>
          <w:lang w:val="ru-RU" w:bidi="zh-CN"/>
        </w:rPr>
        <w:t xml:space="preserve">1</w:t>
      </w:r>
      <w:r>
        <w:rPr>
          <w:rFonts w:ascii="Arial" w:hAnsi="Arial" w:eastAsia="Arial" w:cs="Arial"/>
          <w:b w:val="0"/>
          <w:bCs w:val="0"/>
          <w:i w:val="0"/>
          <w:iCs w:val="0"/>
          <w:strike w:val="0"/>
          <w:color w:val="auto"/>
          <w:sz w:val="16"/>
          <w:szCs w:val="16"/>
          <w:lang w:val="ru-RU" w:bidi="zh-CN"/>
        </w:rPr>
        <w:t xml:space="preserve"> + Р</w:t>
      </w:r>
      <w:r>
        <w:rPr>
          <w:rFonts w:ascii="Arial" w:hAnsi="Arial" w:eastAsia="Arial" w:cs="Arial"/>
          <w:b w:val="0"/>
          <w:bCs w:val="0"/>
          <w:i w:val="0"/>
          <w:iCs w:val="0"/>
          <w:strike w:val="0"/>
          <w:color w:val="auto"/>
          <w:sz w:val="16"/>
          <w:szCs w:val="16"/>
          <w:vertAlign w:val="subscript"/>
          <w:lang w:val="ru-RU" w:bidi="zh-CN"/>
        </w:rPr>
        <w:t xml:space="preserve">2</w:t>
      </w:r>
      <w:r>
        <w:rPr>
          <w:rFonts w:ascii="Arial" w:hAnsi="Arial" w:eastAsia="Arial" w:cs="Arial"/>
          <w:b w:val="0"/>
          <w:bCs w:val="0"/>
          <w:i w:val="0"/>
          <w:iCs w:val="0"/>
          <w:strike w:val="0"/>
          <w:color w:val="auto"/>
          <w:sz w:val="16"/>
          <w:szCs w:val="16"/>
          <w:lang w:val="ru-RU" w:bidi="zh-CN"/>
        </w:rPr>
        <w:t xml:space="preserve">, где:</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Рс - размер предоставляемой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w:t>
      </w:r>
      <w:r>
        <w:rPr>
          <w:rFonts w:ascii="Arial" w:hAnsi="Arial" w:eastAsia="Arial" w:cs="Arial"/>
          <w:b w:val="0"/>
          <w:bCs w:val="0"/>
          <w:i w:val="0"/>
          <w:iCs w:val="0"/>
          <w:strike w:val="0"/>
          <w:color w:val="auto"/>
          <w:sz w:val="16"/>
          <w:szCs w:val="16"/>
          <w:vertAlign w:val="subscript"/>
          <w:lang w:val="ru-RU" w:bidi="zh-CN"/>
        </w:rPr>
        <w:t xml:space="preserve">1</w:t>
      </w:r>
      <w:r>
        <w:rPr>
          <w:rFonts w:ascii="Arial" w:hAnsi="Arial" w:eastAsia="Arial" w:cs="Arial"/>
          <w:b w:val="0"/>
          <w:bCs w:val="0"/>
          <w:i w:val="0"/>
          <w:iCs w:val="0"/>
          <w:strike w:val="0"/>
          <w:color w:val="auto"/>
          <w:sz w:val="16"/>
          <w:szCs w:val="16"/>
          <w:lang w:val="ru-RU" w:bidi="zh-CN"/>
        </w:rPr>
        <w:t xml:space="preserve"> - объем расходов на оплату товаров, работ, услуг в рамках выполнения мероприятия (результата) государственной программы;</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w:t>
      </w:r>
      <w:r>
        <w:rPr>
          <w:rFonts w:ascii="Arial" w:hAnsi="Arial" w:eastAsia="Arial" w:cs="Arial"/>
          <w:b w:val="0"/>
          <w:bCs w:val="0"/>
          <w:i w:val="0"/>
          <w:iCs w:val="0"/>
          <w:strike w:val="0"/>
          <w:color w:val="auto"/>
          <w:sz w:val="16"/>
          <w:szCs w:val="16"/>
          <w:vertAlign w:val="subscript"/>
          <w:lang w:val="ru-RU" w:bidi="zh-CN"/>
        </w:rPr>
        <w:t xml:space="preserve">2</w:t>
      </w:r>
      <w:r>
        <w:rPr>
          <w:rFonts w:ascii="Arial" w:hAnsi="Arial" w:eastAsia="Arial" w:cs="Arial"/>
          <w:b w:val="0"/>
          <w:bCs w:val="0"/>
          <w:i w:val="0"/>
          <w:iCs w:val="0"/>
          <w:strike w:val="0"/>
          <w:color w:val="auto"/>
          <w:sz w:val="16"/>
          <w:szCs w:val="16"/>
          <w:lang w:val="ru-RU" w:bidi="zh-CN"/>
        </w:rPr>
        <w:t xml:space="preserve"> - объем дополнительных расходов, непосредственно связанных с проведением мероприятий (результатов).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Объем расходов на оплату товаров, работ, услуг в рамках выполнения мероприятия (результат) определяется по формуле:</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w:t>
      </w:r>
      <w:r>
        <w:rPr>
          <w:rFonts w:ascii="Arial" w:hAnsi="Arial" w:eastAsia="Arial" w:cs="Arial"/>
          <w:b w:val="0"/>
          <w:bCs w:val="0"/>
          <w:i w:val="0"/>
          <w:iCs w:val="0"/>
          <w:strike w:val="0"/>
          <w:color w:val="auto"/>
          <w:sz w:val="16"/>
          <w:szCs w:val="16"/>
          <w:vertAlign w:val="subscript"/>
          <w:lang w:val="ru-RU" w:bidi="zh-CN"/>
        </w:rPr>
        <w:t xml:space="preserve">1</w:t>
      </w:r>
      <w:r>
        <w:rPr>
          <w:rFonts w:ascii="Arial" w:hAnsi="Arial" w:eastAsia="Arial" w:cs="Arial"/>
          <w:b w:val="0"/>
          <w:bCs w:val="0"/>
          <w:i w:val="0"/>
          <w:iCs w:val="0"/>
          <w:strike w:val="0"/>
          <w:color w:val="auto"/>
          <w:sz w:val="16"/>
          <w:szCs w:val="16"/>
          <w:lang w:val="ru-RU" w:bidi="zh-CN"/>
        </w:rPr>
        <w:t xml:space="preserve"> = Qi x Ni, где:</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Q</w:t>
      </w:r>
      <w:r>
        <w:rPr>
          <w:rFonts w:ascii="Arial" w:hAnsi="Arial" w:eastAsia="Arial" w:cs="Arial"/>
          <w:b w:val="0"/>
          <w:bCs w:val="0"/>
          <w:i w:val="0"/>
          <w:iCs w:val="0"/>
          <w:strike w:val="0"/>
          <w:color w:val="auto"/>
          <w:sz w:val="16"/>
          <w:szCs w:val="16"/>
          <w:vertAlign w:val="subscript"/>
          <w:lang w:val="ru-RU" w:bidi="zh-CN"/>
        </w:rPr>
        <w:t xml:space="preserve">i</w:t>
      </w:r>
      <w:r>
        <w:rPr>
          <w:rFonts w:ascii="Arial" w:hAnsi="Arial" w:eastAsia="Arial" w:cs="Arial"/>
          <w:b w:val="0"/>
          <w:bCs w:val="0"/>
          <w:i w:val="0"/>
          <w:iCs w:val="0"/>
          <w:strike w:val="0"/>
          <w:color w:val="auto"/>
          <w:sz w:val="16"/>
          <w:szCs w:val="16"/>
          <w:lang w:val="ru-RU" w:bidi="zh-CN"/>
        </w:rPr>
        <w:t xml:space="preserve"> - стоимость товаров, работ, услуг;</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Ni - количество товаров, работ, услуг.</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Объем дополнительных расходов, непосредственно связанных с проведением мероприятий (результатов) (Р</w:t>
      </w:r>
      <w:r>
        <w:rPr>
          <w:rFonts w:ascii="Arial" w:hAnsi="Arial" w:eastAsia="Arial" w:cs="Arial"/>
          <w:b w:val="0"/>
          <w:bCs w:val="0"/>
          <w:i w:val="0"/>
          <w:iCs w:val="0"/>
          <w:strike w:val="0"/>
          <w:color w:val="auto"/>
          <w:sz w:val="16"/>
          <w:szCs w:val="16"/>
          <w:vertAlign w:val="subscript"/>
          <w:lang w:val="ru-RU" w:bidi="zh-CN"/>
        </w:rPr>
        <w:t xml:space="preserve">2</w:t>
      </w:r>
      <w:r>
        <w:rPr>
          <w:rFonts w:ascii="Arial" w:hAnsi="Arial" w:eastAsia="Arial" w:cs="Arial"/>
          <w:b w:val="0"/>
          <w:bCs w:val="0"/>
          <w:i w:val="0"/>
          <w:iCs w:val="0"/>
          <w:strike w:val="0"/>
          <w:color w:val="auto"/>
          <w:sz w:val="16"/>
          <w:szCs w:val="16"/>
          <w:lang w:val="ru-RU" w:bidi="zh-CN"/>
        </w:rPr>
        <w:t xml:space="preserve">), складывается из:</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оплаты услуг специалистов, в том числе налогов и сборов;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оплаты услуг бухгалтера, в том числе налогов и сборов;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оплаты услуг банка;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оплаты услуг связи (телефон, интернет);</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оплаты коммунальных услуг;</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оплаты размещения рекламы в средствах массовой информации;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оплаты канцелярских товаров, необходимых для проведения мероприятия (результата);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оплаты изготовления и тиражирования рекламной продукции.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Размер субсидии не может превышать сумму затрат на реализацию мероприятия (результата) государственной программы в текущем финансовом году.</w:t>
      </w:r>
    </w:p>
    <w:p>
      <w:pPr>
        <w:pStyle w:val="Style_23"/>
        <w:spacing w:before="0" w:after="0" w:line="240" w:lineRule="auto"/>
        <w:jc w:val="left"/>
        <w:rPr>
          <w:rFonts w:ascii="Times New Roman" w:hAnsi="Times New Roman" w:eastAsia="Times New Roman" w:cs="Times New Roman"/>
          <w:b w:val="0"/>
          <w:bCs w:val="0"/>
          <w:i w:val="0"/>
          <w:iCs w:val="0"/>
          <w:strike w:val="0"/>
          <w:color w:val="auto"/>
          <w:sz w:val="24"/>
          <w:szCs w:val="24"/>
          <w:lang w:val="ru-RU" w:bidi="zh-CN"/>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top w:w="0" w:type="dxa"/>
          <w:right w:w="0" w:type="dxa"/>
          <w:bottom w:w="0" w:type="dxa"/>
        </w:tblCellMar>
      </w:tblPr>
      <w:tblGrid>
        <w:gridCol w:w="60"/>
        <w:gridCol w:w="112"/>
        <w:gridCol w:w="9922"/>
        <w:gridCol w:w="113"/>
      </w:tblGrid>
      <w:tr>
        <w:trPr>
          <w:jc w:val="left"/>
        </w:trPr>
        <w:tc>
          <w:tcPr>
            <w:tcW w:w="60" w:type="dxa"/>
            <w:shd w:val="clear" w:fill="ced3f1"/>
            <w:vAlign w:val="top"/>
          </w:tcPr>
          <w:p>
            <w:pPr>
              <w:pStyle w:val="Style_23"/>
              <w:spacing w:before="0" w:after="0" w:line="240" w:lineRule="auto"/>
              <w:jc w:val="left"/>
              <w:rPr>
                <w:rFonts w:ascii="Arial" w:hAnsi="Arial" w:eastAsia="Arial" w:cs="Arial"/>
                <w:b w:val="0"/>
                <w:bCs w:val="0"/>
                <w:i w:val="0"/>
                <w:iCs w:val="0"/>
                <w:strike w:val="0"/>
                <w:color w:val="auto"/>
                <w:sz w:val="16"/>
                <w:szCs w:val="16"/>
                <w:lang w:val="ru-RU" w:bidi="zh-CN"/>
              </w:rPr>
            </w:pPr>
          </w:p>
        </w:tc>
        <w:tc>
          <w:tcPr>
            <w:tcW w:w="112" w:type="dxa"/>
            <w:shd w:val="clear" w:fill="f4f3f8"/>
            <w:vAlign w:val="top"/>
          </w:tcPr>
          <w:p>
            <w:pPr>
              <w:pStyle w:val="Style_23"/>
              <w:spacing w:before="0" w:after="0" w:line="240" w:lineRule="auto"/>
              <w:jc w:val="left"/>
              <w:rPr>
                <w:rFonts w:ascii="Arial" w:hAnsi="Arial" w:eastAsia="Arial" w:cs="Arial"/>
                <w:b w:val="0"/>
                <w:bCs w:val="0"/>
                <w:i w:val="0"/>
                <w:iCs w:val="0"/>
                <w:strike w:val="0"/>
                <w:color w:val="auto"/>
                <w:sz w:val="16"/>
                <w:szCs w:val="16"/>
                <w:lang w:val="ru-RU" w:bidi="zh-CN"/>
              </w:rPr>
            </w:pPr>
          </w:p>
        </w:tc>
        <w:tc>
          <w:tcPr>
            <w:tcW w:w="9922" w:type="dxa"/>
            <w:shd w:val="clear" w:fill="f4f3f8"/>
            <w:tcMar>
              <w:top w:w="113" w:type="dxa"/>
              <w:bottom w:w="113" w:type="dxa"/>
            </w:tcMar>
            <w:vAlign w:val="top"/>
          </w:tcPr>
          <w:p>
            <w:pPr>
              <w:pStyle w:val="Style_23"/>
              <w:spacing w:before="0" w:after="0" w:line="240" w:lineRule="auto"/>
              <w:ind w:left="0" w:firstLine="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392c69"/>
                <w:sz w:val="16"/>
                <w:szCs w:val="16"/>
                <w:lang w:val="ru-RU" w:bidi="zh-CN"/>
              </w:rPr>
              <w:t xml:space="preserve">КонсультантПлюс: примечание.</w:t>
            </w:r>
          </w:p>
          <w:p>
            <w:pPr>
              <w:pStyle w:val="Style_23"/>
              <w:spacing w:before="0" w:after="0" w:line="240" w:lineRule="auto"/>
              <w:ind w:left="0" w:firstLine="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392c69"/>
                <w:sz w:val="16"/>
                <w:szCs w:val="16"/>
                <w:lang w:val="ru-RU" w:bidi="zh-CN"/>
              </w:rPr>
              <w:t xml:space="preserve">В официальном тексте документа, видимо, допущена опечатка: приказ МФ и НП Новосибирской области N 57-НПА издан 19.10.2017, а не 19.01.2017.</w:t>
            </w:r>
          </w:p>
        </w:tc>
        <w:tc>
          <w:tcPr>
            <w:tcW w:w="113" w:type="dxa"/>
            <w:shd w:val="clear" w:fill="f4f3f8"/>
            <w:vAlign w:val="top"/>
          </w:tcPr>
          <w:p>
            <w:pPr>
              <w:pStyle w:val="Style_23"/>
              <w:spacing w:before="0" w:after="0" w:line="240" w:lineRule="auto"/>
              <w:ind w:left="0" w:firstLine="0"/>
              <w:jc w:val="both"/>
              <w:rPr>
                <w:rFonts w:ascii="Arial" w:hAnsi="Arial" w:eastAsia="Arial" w:cs="Arial"/>
                <w:b w:val="0"/>
                <w:bCs w:val="0"/>
                <w:i w:val="0"/>
                <w:iCs w:val="0"/>
                <w:strike w:val="0"/>
                <w:color w:val="392c69"/>
                <w:sz w:val="16"/>
                <w:szCs w:val="16"/>
                <w:lang w:val="ru-RU" w:bidi="zh-CN"/>
              </w:rPr>
            </w:pPr>
          </w:p>
        </w:tc>
      </w:tr>
    </w:tbl>
    <w:p>
      <w:pPr>
        <w:pStyle w:val="Style_23"/>
        <w:spacing w:before="20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15. Субсидия предоставляется на основании </w:t>
      </w:r>
      <w:hyperlink r:id="rId24">
        <w:r>
          <w:rPr>
            <w:rFonts w:ascii="Arial" w:hAnsi="Arial" w:eastAsia="Arial" w:cs="Arial"/>
            <w:b w:val="0"/>
            <w:bCs w:val="0"/>
            <w:i w:val="0"/>
            <w:iCs w:val="0"/>
            <w:strike w:val="0"/>
            <w:color w:val="0000ff"/>
            <w:sz w:val="16"/>
            <w:szCs w:val="16"/>
            <w:lang w:val="ru-RU" w:bidi="zh-CN"/>
          </w:rPr>
          <w:t xml:space="preserve">Соглашения</w:t>
        </w:r>
      </w:hyperlink>
      <w:r>
        <w:rPr>
          <w:rFonts w:ascii="Arial" w:hAnsi="Arial" w:eastAsia="Arial" w:cs="Arial"/>
          <w:b w:val="0"/>
          <w:bCs w:val="0"/>
          <w:i w:val="0"/>
          <w:iCs w:val="0"/>
          <w:strike w:val="0"/>
          <w:color w:val="auto"/>
          <w:sz w:val="16"/>
          <w:szCs w:val="16"/>
          <w:lang w:val="ru-RU" w:bidi="zh-CN"/>
        </w:rPr>
        <w:t xml:space="preserve">, заключенного между министерством и получателем субсидии в соответствии с типовой формой, утвержденной приказом министерства финансов и налоговой политики Новосибирской области от 19.01.2017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приказ N 57-НПА), в ГИИС "Электронный бюджет".</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Дополнительное соглашение к Соглашению, в том числе дополнительное соглашение о расторжении Соглашения, подлежит заключению в ГИИС "Электронный бюджет" по форме, утвержденной </w:t>
      </w:r>
      <w:hyperlink r:id="rId25">
        <w:r>
          <w:rPr>
            <w:rFonts w:ascii="Arial" w:hAnsi="Arial" w:eastAsia="Arial" w:cs="Arial"/>
            <w:b w:val="0"/>
            <w:bCs w:val="0"/>
            <w:i w:val="0"/>
            <w:iCs w:val="0"/>
            <w:strike w:val="0"/>
            <w:color w:val="0000ff"/>
            <w:sz w:val="16"/>
            <w:szCs w:val="16"/>
            <w:lang w:val="ru-RU" w:bidi="zh-CN"/>
          </w:rPr>
          <w:t xml:space="preserve">приказом</w:t>
        </w:r>
      </w:hyperlink>
      <w:r>
        <w:rPr>
          <w:rFonts w:ascii="Arial" w:hAnsi="Arial" w:eastAsia="Arial" w:cs="Arial"/>
          <w:b w:val="0"/>
          <w:bCs w:val="0"/>
          <w:i w:val="0"/>
          <w:iCs w:val="0"/>
          <w:strike w:val="0"/>
          <w:color w:val="auto"/>
          <w:sz w:val="16"/>
          <w:szCs w:val="16"/>
          <w:lang w:val="ru-RU" w:bidi="zh-CN"/>
        </w:rPr>
        <w:t xml:space="preserve"> N 57-НПА.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16. В случае невозможности предоставления субсидии в текущем финансовом году в связи с недостаточностью лимитов бюджетных обязательств министерство согласовывает с получателем субсидии новые условия исполнения Соглашения.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17. Получатель субсидии обеспечивает подписание проекта Соглашения в ГИИС "Электронный бюджет" в течение пяти рабочих дней со дня его размещения министерством. В случае отказа от подписания Соглашения в течение указанного срока получатель субсидии считается уклонившимся от заключения Соглашения.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Министерство подписывает Соглашение в ГИИС "Электронный бюджет" в течение пяти рабочих дней после подписания Соглашения получателем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18. В Соглашении в обязательном порядке указывается: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целевое назначение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значения результатов предоставления субсидии, их характеристики (показатели, необходимые для достижения результатов предоставления субсидии) (далее - характеристики);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 сведения об объеме и сроках предоставления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 счет (счета) для перечисления субсидии с учетом положений, установленных бюджетным законодательством Российской Федерации;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 порядок, сроки и форма представления получателем субсидии отчетности о достижении значений результатов предоставления субсидии, а также характеристики результата предоставления субсидии, об осуществлении расходов, источником финансового обеспечения которых является субсидия;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 ответственность сторон за нарушение условий Соглашения;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7)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субсидий, в том числе в части достижения результатов предоставления субсидий, а также о проверке органами государственного финансового контроля соблюдения в соответствии со </w:t>
      </w:r>
      <w:hyperlink r:id="rId26">
        <w:r>
          <w:rPr>
            <w:rFonts w:ascii="Arial" w:hAnsi="Arial" w:eastAsia="Arial" w:cs="Arial"/>
            <w:b w:val="0"/>
            <w:bCs w:val="0"/>
            <w:i w:val="0"/>
            <w:iCs w:val="0"/>
            <w:strike w:val="0"/>
            <w:color w:val="0000ff"/>
            <w:sz w:val="16"/>
            <w:szCs w:val="16"/>
            <w:lang w:val="ru-RU" w:bidi="zh-CN"/>
          </w:rPr>
          <w:t xml:space="preserve">статьями 268.1</w:t>
        </w:r>
      </w:hyperlink>
      <w:r>
        <w:rPr>
          <w:rFonts w:ascii="Arial" w:hAnsi="Arial" w:eastAsia="Arial" w:cs="Arial"/>
          <w:b w:val="0"/>
          <w:bCs w:val="0"/>
          <w:i w:val="0"/>
          <w:iCs w:val="0"/>
          <w:strike w:val="0"/>
          <w:color w:val="auto"/>
          <w:sz w:val="16"/>
          <w:szCs w:val="16"/>
          <w:lang w:val="ru-RU" w:bidi="zh-CN"/>
        </w:rPr>
        <w:t xml:space="preserve"> и </w:t>
      </w:r>
      <w:hyperlink r:id="rId27">
        <w:r>
          <w:rPr>
            <w:rFonts w:ascii="Arial" w:hAnsi="Arial" w:eastAsia="Arial" w:cs="Arial"/>
            <w:b w:val="0"/>
            <w:bCs w:val="0"/>
            <w:i w:val="0"/>
            <w:iCs w:val="0"/>
            <w:strike w:val="0"/>
            <w:color w:val="0000ff"/>
            <w:sz w:val="16"/>
            <w:szCs w:val="16"/>
            <w:lang w:val="ru-RU" w:bidi="zh-CN"/>
          </w:rPr>
          <w:t xml:space="preserve">269.2</w:t>
        </w:r>
      </w:hyperlink>
      <w:r>
        <w:rPr>
          <w:rFonts w:ascii="Arial" w:hAnsi="Arial" w:eastAsia="Arial" w:cs="Arial"/>
          <w:b w:val="0"/>
          <w:bCs w:val="0"/>
          <w:i w:val="0"/>
          <w:iCs w:val="0"/>
          <w:strike w:val="0"/>
          <w:color w:val="auto"/>
          <w:sz w:val="16"/>
          <w:szCs w:val="16"/>
          <w:lang w:val="ru-RU" w:bidi="zh-CN"/>
        </w:rPr>
        <w:t xml:space="preserve"> Бюджетного кодекса Российской Федерации;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8)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9) порядок и сроки возврата субсидии (остатков субсидии) в областной бюджет Новосибирской области в случае образования не использованного в отчетном финансовом году остатка субсидии и отсутствия решения министерства, принятого по согласованию с министерством финансов и налоговой политики Новосибирской области, о наличии потребности в указанных средствах;</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10)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11) запрет приобретения за счет полученных средств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12) условие о заключении Соглашения с некоммерческой организацией - исполнителем общественно полезных услуг на срок не менее 2 лет (в отношении некоммерческих организаций, включенных в реестр некоммерческих организаций - исполнителей общественно полезных услуг, ведение которого осуществляет Министерство юстиции Российской Федерации и его территориальные органы);</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13) запрет на расторжение Соглашения получателем субсидии в одностороннем порядке;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14) запрет на привлечение получателем субсидии иных юридических лиц для оказания услуг, на оказание которых ему предоставлена субсидия, за исключением работ и услуг, необходимых получателю субсидии для оказания общественно полезной услуги.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8" w:name="Par1177"/>
      <w:bookmarkEnd w:id="8"/>
      <w:r>
        <w:rPr>
          <w:rFonts w:ascii="Arial" w:hAnsi="Arial" w:eastAsia="Arial" w:cs="Arial"/>
          <w:b w:val="0"/>
          <w:bCs w:val="0"/>
          <w:i w:val="0"/>
          <w:iCs w:val="0"/>
          <w:strike w:val="0"/>
          <w:color w:val="auto"/>
          <w:sz w:val="16"/>
          <w:szCs w:val="16"/>
          <w:lang w:val="ru-RU" w:bidi="zh-CN"/>
        </w:rPr>
        <w:t xml:space="preserve">19. Результатом предоставления субсидии является количество потребителей услуг в социальной сфере и (или) количество услуг в социальной сфере, оказанных потребителям услуг.</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Срок достижения результата предоставления субсидии с указанием точной даты завершения и конечное значение результата предоставления субсидии устанавливаются в Соглашении в соответствии с </w:t>
      </w:r>
      <w:hyperlink r:id="rId28">
        <w:r>
          <w:rPr>
            <w:rFonts w:ascii="Arial" w:hAnsi="Arial" w:eastAsia="Arial" w:cs="Arial"/>
            <w:b w:val="0"/>
            <w:bCs w:val="0"/>
            <w:i w:val="0"/>
            <w:iCs w:val="0"/>
            <w:strike w:val="0"/>
            <w:color w:val="0000ff"/>
            <w:sz w:val="16"/>
            <w:szCs w:val="16"/>
            <w:lang w:val="ru-RU" w:bidi="zh-CN"/>
          </w:rPr>
          <w:t xml:space="preserve">приказом</w:t>
        </w:r>
      </w:hyperlink>
      <w:r>
        <w:rPr>
          <w:rFonts w:ascii="Arial" w:hAnsi="Arial" w:eastAsia="Arial" w:cs="Arial"/>
          <w:b w:val="0"/>
          <w:bCs w:val="0"/>
          <w:i w:val="0"/>
          <w:iCs w:val="0"/>
          <w:strike w:val="0"/>
          <w:color w:val="auto"/>
          <w:sz w:val="16"/>
          <w:szCs w:val="16"/>
          <w:lang w:val="ru-RU" w:bidi="zh-CN"/>
        </w:rPr>
        <w:t xml:space="preserve"> N 57-НПА.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20. Министерство в течение 20 рабочих дней со дня принятия решения о получателе субсидии - победителе отбора заключает с получателем субсидии Соглашение и издает приказ о перечислении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21. Перечисление субсидии получателю субсидии осуществляется в соответствии с бюджетным законодательством Российской Федерации: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получателю субсидии, не позднее десяти рабочих дней, следующих за днем принятия министерством решения о предоставлении субсидии (в случае если предоставление субсидии осуществляется в рамках казначейского сопровождения);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не позднее 30 календарных дней со дня заключения Соглашения на указанные в Соглашении расчетные или корреспондентские счета получателем субсидии, открытые получателю субсидии в учреждениях Центрального банка Российской Федерации или в кредитных организациях (в случае если предоставление субсидии не подлежит казначейскому сопровождению).</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22. Основаниями для отказа в предоставлении субсидии являются: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несоответствие представленных получателем субсидии документов требованиям, определенным </w:t>
      </w:r>
      <w:hyperlink r:id="rId29">
        <w:r>
          <w:rPr>
            <w:rFonts w:ascii="Arial" w:hAnsi="Arial" w:eastAsia="Arial" w:cs="Arial"/>
            <w:b w:val="0"/>
            <w:bCs w:val="0"/>
            <w:i w:val="0"/>
            <w:iCs w:val="0"/>
            <w:strike w:val="0"/>
            <w:color w:val="0000ff"/>
            <w:sz w:val="16"/>
            <w:szCs w:val="16"/>
            <w:lang w:val="ru-RU" w:bidi="zh-CN"/>
          </w:rPr>
          <w:t xml:space="preserve">пунктом 6</w:t>
        </w:r>
      </w:hyperlink>
      <w:r>
        <w:rPr>
          <w:rFonts w:ascii="Arial" w:hAnsi="Arial" w:eastAsia="Arial" w:cs="Arial"/>
          <w:b w:val="0"/>
          <w:bCs w:val="0"/>
          <w:i w:val="0"/>
          <w:iCs w:val="0"/>
          <w:strike w:val="0"/>
          <w:color w:val="auto"/>
          <w:sz w:val="16"/>
          <w:szCs w:val="16"/>
          <w:lang w:val="ru-RU" w:bidi="zh-CN"/>
        </w:rPr>
        <w:t xml:space="preserve"> настоящего Порядка, или непредставление (представление не в полном объеме) указанных документов;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установление факта недостоверности представленной получателем субсидии информации.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0">
        <w:r>
          <w:rPr>
            <w:rFonts w:ascii="Arial" w:hAnsi="Arial" w:eastAsia="Arial" w:cs="Arial"/>
            <w:b w:val="0"/>
            <w:bCs w:val="0"/>
            <w:i w:val="0"/>
            <w:iCs w:val="0"/>
            <w:strike w:val="0"/>
            <w:color w:val="0000ff"/>
            <w:sz w:val="16"/>
            <w:szCs w:val="16"/>
            <w:lang w:val="ru-RU" w:bidi="zh-CN"/>
          </w:rPr>
          <w:t xml:space="preserve">абзацем вторым пункта 5 статьи 23</w:t>
        </w:r>
      </w:hyperlink>
      <w:r>
        <w:rPr>
          <w:rFonts w:ascii="Arial" w:hAnsi="Arial" w:eastAsia="Arial" w:cs="Arial"/>
          <w:b w:val="0"/>
          <w:bCs w:val="0"/>
          <w:i w:val="0"/>
          <w:iCs w:val="0"/>
          <w:strike w:val="0"/>
          <w:color w:val="auto"/>
          <w:sz w:val="16"/>
          <w:szCs w:val="16"/>
          <w:lang w:val="ru-RU" w:bidi="zh-CN"/>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III. Порядок проведения отбора</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24. Проведение отбора некоммерческих организаций, не являющихся государственными (муниципальными) учреждениями, направивших заявку на участие в отборе получателей субсидий для предоставления субсидии (далее - участник отбора), обеспечивается в ГИИС "Электронный бюджет".</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25. Отбор участников отбора осуществляется на конкурентной основе путем проведения конкурса исходя из наилучших условий достижения результатов предоставления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26. Взаимодействие министерства с участниками отбора осуществляется с использованием документов в электронной форме.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Доступ к ГИИС "Электронный бюджет" обеспечивается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Передача полномочий по проведению отбора (за исключением полномочий по размещению объявления о проведении отбора и утверждению протокола подведения итогов отбора) иному юридическому лицу не предусмотрена.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27. Запрещается требовать от участника отбора представления документов и информации в целях подтверждения соответствия требованиям, определенным </w:t>
      </w:r>
      <w:hyperlink r:id="rId31">
        <w:r>
          <w:rPr>
            <w:rFonts w:ascii="Arial" w:hAnsi="Arial" w:eastAsia="Arial" w:cs="Arial"/>
            <w:b w:val="0"/>
            <w:bCs w:val="0"/>
            <w:i w:val="0"/>
            <w:iCs w:val="0"/>
            <w:strike w:val="0"/>
            <w:color w:val="0000ff"/>
            <w:sz w:val="16"/>
            <w:szCs w:val="16"/>
            <w:lang w:val="ru-RU" w:bidi="zh-CN"/>
          </w:rPr>
          <w:t xml:space="preserve">пунктом 6</w:t>
        </w:r>
      </w:hyperlink>
      <w:r>
        <w:rPr>
          <w:rFonts w:ascii="Arial" w:hAnsi="Arial" w:eastAsia="Arial" w:cs="Arial"/>
          <w:b w:val="0"/>
          <w:bCs w:val="0"/>
          <w:i w:val="0"/>
          <w:iCs w:val="0"/>
          <w:strike w:val="0"/>
          <w:color w:val="auto"/>
          <w:sz w:val="16"/>
          <w:szCs w:val="16"/>
          <w:lang w:val="ru-RU" w:bidi="zh-CN"/>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28. Решение о проведении отбора оформляется приказом министерства и содержит следующую информацию:</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наименование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категории получателей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 предельный размер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 вид предоставления субсидии (финансовое обеспечение затрат);</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 дату размещения объявления о проведении отбора, сроки проведения отбора, дату начала подачи и окончания приема заявок участников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 результат (результаты) предоставления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9" w:name="Par1204"/>
      <w:bookmarkEnd w:id="9"/>
      <w:r>
        <w:rPr>
          <w:rFonts w:ascii="Arial" w:hAnsi="Arial" w:eastAsia="Arial" w:cs="Arial"/>
          <w:b w:val="0"/>
          <w:bCs w:val="0"/>
          <w:i w:val="0"/>
          <w:iCs w:val="0"/>
          <w:strike w:val="0"/>
          <w:color w:val="auto"/>
          <w:sz w:val="16"/>
          <w:szCs w:val="16"/>
          <w:lang w:val="ru-RU" w:bidi="zh-CN"/>
        </w:rPr>
        <w:t xml:space="preserve">7) минимальные требования, необходимые для выполнения мероприятия (результата), в том числе: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а) объем услуг, товаров или работ, в отношении которых проводится отбор;</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б) результат (результаты) предоставления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в) требования к образованию и (или) стажу работы персонала, необходимого для выполнения мероприятия (результата) (в случае, когда данные требования утверждены приказом о проведении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г) требования к техническим характеристикам оборудования и других материальных ресурсов, необходимых для выполнения мероприятия (результата) (в случае, когда данные требования утверждены приказом о проведении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29. Объявление о проведении отбора публикуется на едином портале, а также на официальном сайте министерства в информационно-телекоммуникационной сети "Интернет" в разделе "Конкурсы на предоставление субсидий юридическим лицам и индивидуальным предпринимателям" (</w:t>
      </w:r>
      <w:hyperlink r:id="rId32">
        <w:r>
          <w:rPr>
            <w:rFonts w:ascii="Arial" w:hAnsi="Arial" w:eastAsia="Arial" w:cs="Arial"/>
            <w:b w:val="0"/>
            <w:bCs w:val="0"/>
            <w:i w:val="0"/>
            <w:iCs w:val="0"/>
            <w:strike w:val="0"/>
            <w:color w:val="0000ff"/>
            <w:sz w:val="16"/>
            <w:szCs w:val="16"/>
            <w:lang w:val="ru-RU" w:bidi="zh-CN"/>
          </w:rPr>
          <w:t xml:space="preserve">https://mtsr.nso.ru/page/1235</w:t>
        </w:r>
      </w:hyperlink>
      <w:r>
        <w:rPr>
          <w:rFonts w:ascii="Arial" w:hAnsi="Arial" w:eastAsia="Arial" w:cs="Arial"/>
          <w:b w:val="0"/>
          <w:bCs w:val="0"/>
          <w:i w:val="0"/>
          <w:iCs w:val="0"/>
          <w:strike w:val="0"/>
          <w:color w:val="auto"/>
          <w:sz w:val="16"/>
          <w:szCs w:val="16"/>
          <w:lang w:val="ru-RU" w:bidi="zh-CN"/>
        </w:rPr>
        <w:t xml:space="preserve">) и включает в себя: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дату размещения объявления о проведении отбора (не менее чем за десять календарных дней до даты начала проведения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сроки проведения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 дату начала подачи и окончания приема заявок участников отбора. Дата окончания приема заявок не может быть ранее 30-го календарного дня, следующего за днем размещения объявления о проведении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 наименование, место нахождения, почтовый адрес, адрес электронной почты министерства;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 результат (результаты) предоставления субсидии в соответствии с </w:t>
      </w:r>
      <w:hyperlink r:id="rId33">
        <w:r>
          <w:rPr>
            <w:rFonts w:ascii="Arial" w:hAnsi="Arial" w:eastAsia="Arial" w:cs="Arial"/>
            <w:b w:val="0"/>
            <w:bCs w:val="0"/>
            <w:i w:val="0"/>
            <w:iCs w:val="0"/>
            <w:strike w:val="0"/>
            <w:color w:val="0000ff"/>
            <w:sz w:val="16"/>
            <w:szCs w:val="16"/>
            <w:lang w:val="ru-RU" w:bidi="zh-CN"/>
          </w:rPr>
          <w:t xml:space="preserve">пунктом 19</w:t>
        </w:r>
      </w:hyperlink>
      <w:r>
        <w:rPr>
          <w:rFonts w:ascii="Arial" w:hAnsi="Arial" w:eastAsia="Arial" w:cs="Arial"/>
          <w:b w:val="0"/>
          <w:bCs w:val="0"/>
          <w:i w:val="0"/>
          <w:iCs w:val="0"/>
          <w:strike w:val="0"/>
          <w:color w:val="auto"/>
          <w:sz w:val="16"/>
          <w:szCs w:val="16"/>
          <w:lang w:val="ru-RU" w:bidi="zh-CN"/>
        </w:rPr>
        <w:t xml:space="preserve"> настоящего Порядка;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 доменное имя и (или) указатели страниц ГИИС "Электронный бюджет" в информационно-телекоммуникационной сети "Интернет";</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7) требования к участникам отбора, определенные в соответствии с </w:t>
      </w:r>
      <w:hyperlink r:id="rId34">
        <w:r>
          <w:rPr>
            <w:rFonts w:ascii="Arial" w:hAnsi="Arial" w:eastAsia="Arial" w:cs="Arial"/>
            <w:b w:val="0"/>
            <w:bCs w:val="0"/>
            <w:i w:val="0"/>
            <w:iCs w:val="0"/>
            <w:strike w:val="0"/>
            <w:color w:val="0000ff"/>
            <w:sz w:val="16"/>
            <w:szCs w:val="16"/>
            <w:lang w:val="ru-RU" w:bidi="zh-CN"/>
          </w:rPr>
          <w:t xml:space="preserve">пунктом 6</w:t>
        </w:r>
      </w:hyperlink>
      <w:r>
        <w:rPr>
          <w:rFonts w:ascii="Arial" w:hAnsi="Arial" w:eastAsia="Arial" w:cs="Arial"/>
          <w:b w:val="0"/>
          <w:bCs w:val="0"/>
          <w:i w:val="0"/>
          <w:iCs w:val="0"/>
          <w:strike w:val="0"/>
          <w:color w:val="auto"/>
          <w:sz w:val="16"/>
          <w:szCs w:val="16"/>
          <w:lang w:val="ru-RU" w:bidi="zh-CN"/>
        </w:rPr>
        <w:t xml:space="preserve"> настоящего Порядка, которым участник должен соответствовать на дату подачи заявки на участие в отборе, и перечень документов, определенных </w:t>
      </w:r>
      <w:hyperlink r:id="rId35">
        <w:r>
          <w:rPr>
            <w:rFonts w:ascii="Arial" w:hAnsi="Arial" w:eastAsia="Arial" w:cs="Arial"/>
            <w:b w:val="0"/>
            <w:bCs w:val="0"/>
            <w:i w:val="0"/>
            <w:iCs w:val="0"/>
            <w:strike w:val="0"/>
            <w:color w:val="0000ff"/>
            <w:sz w:val="16"/>
            <w:szCs w:val="16"/>
            <w:lang w:val="ru-RU" w:bidi="zh-CN"/>
          </w:rPr>
          <w:t xml:space="preserve">пунктами 8</w:t>
        </w:r>
      </w:hyperlink>
      <w:r>
        <w:rPr>
          <w:rFonts w:ascii="Arial" w:hAnsi="Arial" w:eastAsia="Arial" w:cs="Arial"/>
          <w:b w:val="0"/>
          <w:bCs w:val="0"/>
          <w:i w:val="0"/>
          <w:iCs w:val="0"/>
          <w:strike w:val="0"/>
          <w:color w:val="auto"/>
          <w:sz w:val="16"/>
          <w:szCs w:val="16"/>
          <w:lang w:val="ru-RU" w:bidi="zh-CN"/>
        </w:rPr>
        <w:t xml:space="preserve"> и </w:t>
      </w:r>
      <w:hyperlink r:id="rId36">
        <w:r>
          <w:rPr>
            <w:rFonts w:ascii="Arial" w:hAnsi="Arial" w:eastAsia="Arial" w:cs="Arial"/>
            <w:b w:val="0"/>
            <w:bCs w:val="0"/>
            <w:i w:val="0"/>
            <w:iCs w:val="0"/>
            <w:strike w:val="0"/>
            <w:color w:val="0000ff"/>
            <w:sz w:val="16"/>
            <w:szCs w:val="16"/>
            <w:lang w:val="ru-RU" w:bidi="zh-CN"/>
          </w:rPr>
          <w:t xml:space="preserve">11</w:t>
        </w:r>
      </w:hyperlink>
      <w:r>
        <w:rPr>
          <w:rFonts w:ascii="Arial" w:hAnsi="Arial" w:eastAsia="Arial" w:cs="Arial"/>
          <w:b w:val="0"/>
          <w:bCs w:val="0"/>
          <w:i w:val="0"/>
          <w:iCs w:val="0"/>
          <w:strike w:val="0"/>
          <w:color w:val="auto"/>
          <w:sz w:val="16"/>
          <w:szCs w:val="16"/>
          <w:lang w:val="ru-RU" w:bidi="zh-CN"/>
        </w:rPr>
        <w:t xml:space="preserve"> настоящего Порядка, представляемых участниками отбора для подтверждения соответствия указанным требованиям;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8) категории получателей субсидии и критерии оценки, показатели критериев оценки;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9) порядок подачи заявок участниками отбора и требования, предъявляемые к форме и содержанию заявок;</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10) порядок отзыва заявок, порядок их возврата, определяющий в том числе основания для возврата заявок, порядок внесения изменений в заявки;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11) правила рассмотрения и оценки заявок участников отбора в соответствии с </w:t>
      </w:r>
      <w:hyperlink r:id="rId37">
        <w:r>
          <w:rPr>
            <w:rFonts w:ascii="Arial" w:hAnsi="Arial" w:eastAsia="Arial" w:cs="Arial"/>
            <w:b w:val="0"/>
            <w:bCs w:val="0"/>
            <w:i w:val="0"/>
            <w:iCs w:val="0"/>
            <w:strike w:val="0"/>
            <w:color w:val="0000ff"/>
            <w:sz w:val="16"/>
            <w:szCs w:val="16"/>
            <w:lang w:val="ru-RU" w:bidi="zh-CN"/>
          </w:rPr>
          <w:t xml:space="preserve">пунктами 46</w:t>
        </w:r>
      </w:hyperlink>
      <w:r>
        <w:rPr>
          <w:rFonts w:ascii="Arial" w:hAnsi="Arial" w:eastAsia="Arial" w:cs="Arial"/>
          <w:b w:val="0"/>
          <w:bCs w:val="0"/>
          <w:i w:val="0"/>
          <w:iCs w:val="0"/>
          <w:strike w:val="0"/>
          <w:color w:val="auto"/>
          <w:sz w:val="16"/>
          <w:szCs w:val="16"/>
          <w:lang w:val="ru-RU" w:bidi="zh-CN"/>
        </w:rPr>
        <w:t xml:space="preserve"> - </w:t>
      </w:r>
      <w:hyperlink r:id="rId38">
        <w:r>
          <w:rPr>
            <w:rFonts w:ascii="Arial" w:hAnsi="Arial" w:eastAsia="Arial" w:cs="Arial"/>
            <w:b w:val="0"/>
            <w:bCs w:val="0"/>
            <w:i w:val="0"/>
            <w:iCs w:val="0"/>
            <w:strike w:val="0"/>
            <w:color w:val="0000ff"/>
            <w:sz w:val="16"/>
            <w:szCs w:val="16"/>
            <w:lang w:val="ru-RU" w:bidi="zh-CN"/>
          </w:rPr>
          <w:t xml:space="preserve">56</w:t>
        </w:r>
      </w:hyperlink>
      <w:r>
        <w:rPr>
          <w:rFonts w:ascii="Arial" w:hAnsi="Arial" w:eastAsia="Arial" w:cs="Arial"/>
          <w:b w:val="0"/>
          <w:bCs w:val="0"/>
          <w:i w:val="0"/>
          <w:iCs w:val="0"/>
          <w:strike w:val="0"/>
          <w:color w:val="auto"/>
          <w:sz w:val="16"/>
          <w:szCs w:val="16"/>
          <w:lang w:val="ru-RU" w:bidi="zh-CN"/>
        </w:rPr>
        <w:t xml:space="preserve"> настоящего Порядка;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12) порядок возврата заявок на доработку;</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13) порядок отклонения заявок, а также информацию об основаниях их отклонения;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14) порядок оценки заявок, включающий критерии оценки, показатели, образующие критерии оценки (далее - показатели критериев оценки), и их весовое значение в общей оценке, необходимой для представления участником отбора информации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в соответствии с </w:t>
      </w:r>
      <w:hyperlink r:id="rId39">
        <w:r>
          <w:rPr>
            <w:rFonts w:ascii="Arial" w:hAnsi="Arial" w:eastAsia="Arial" w:cs="Arial"/>
            <w:b w:val="0"/>
            <w:bCs w:val="0"/>
            <w:i w:val="0"/>
            <w:iCs w:val="0"/>
            <w:strike w:val="0"/>
            <w:color w:val="0000ff"/>
            <w:sz w:val="16"/>
            <w:szCs w:val="16"/>
            <w:lang w:val="ru-RU" w:bidi="zh-CN"/>
          </w:rPr>
          <w:t xml:space="preserve">пунктом 30</w:t>
        </w:r>
      </w:hyperlink>
      <w:r>
        <w:rPr>
          <w:rFonts w:ascii="Arial" w:hAnsi="Arial" w:eastAsia="Arial" w:cs="Arial"/>
          <w:b w:val="0"/>
          <w:bCs w:val="0"/>
          <w:i w:val="0"/>
          <w:iCs w:val="0"/>
          <w:strike w:val="0"/>
          <w:color w:val="auto"/>
          <w:sz w:val="16"/>
          <w:szCs w:val="16"/>
          <w:lang w:val="ru-RU" w:bidi="zh-CN"/>
        </w:rPr>
        <w:t xml:space="preserve"> настоящего Порядка, сроки оценки заявок, а также информацию об участии конкурсной комиссии и неучастии экспертов (экспертных организаций) в оценке заявок;</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0" w:name="Par1224"/>
      <w:bookmarkEnd w:id="10"/>
      <w:r>
        <w:rPr>
          <w:rFonts w:ascii="Arial" w:hAnsi="Arial" w:eastAsia="Arial" w:cs="Arial"/>
          <w:b w:val="0"/>
          <w:bCs w:val="0"/>
          <w:i w:val="0"/>
          <w:iCs w:val="0"/>
          <w:strike w:val="0"/>
          <w:color w:val="auto"/>
          <w:sz w:val="16"/>
          <w:szCs w:val="16"/>
          <w:lang w:val="ru-RU" w:bidi="zh-CN"/>
        </w:rPr>
        <w:t xml:space="preserve">15) объем распределяемой субсидии в рамках отбора, порядок расчета субсидии, установленный </w:t>
      </w:r>
      <w:hyperlink r:id="rId40">
        <w:r>
          <w:rPr>
            <w:rFonts w:ascii="Arial" w:hAnsi="Arial" w:eastAsia="Arial" w:cs="Arial"/>
            <w:b w:val="0"/>
            <w:bCs w:val="0"/>
            <w:i w:val="0"/>
            <w:iCs w:val="0"/>
            <w:strike w:val="0"/>
            <w:color w:val="0000ff"/>
            <w:sz w:val="16"/>
            <w:szCs w:val="16"/>
            <w:lang w:val="ru-RU" w:bidi="zh-CN"/>
          </w:rPr>
          <w:t xml:space="preserve">пунктом 14</w:t>
        </w:r>
      </w:hyperlink>
      <w:r>
        <w:rPr>
          <w:rFonts w:ascii="Arial" w:hAnsi="Arial" w:eastAsia="Arial" w:cs="Arial"/>
          <w:b w:val="0"/>
          <w:bCs w:val="0"/>
          <w:i w:val="0"/>
          <w:iCs w:val="0"/>
          <w:strike w:val="0"/>
          <w:color w:val="auto"/>
          <w:sz w:val="16"/>
          <w:szCs w:val="16"/>
          <w:lang w:val="ru-RU" w:bidi="zh-CN"/>
        </w:rPr>
        <w:t xml:space="preserve"> настоящего Порядка, правила распределения субсидии по результатам отбора, которые могут включать максимальный, минимальный размер субсидии, предоставляемой получателю субсидии - победителю отбора, а также предельное количество победителей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16) порядок предоставления участникам отбора разъяснений положений объявления о проведении отбора, дату начала и окончания срока такого предоставления;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17) срок, в течение которого получатель субсидии должен подписать соглашение;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18) условия признания получателя субсидии уклонившимся от заключения соглашения;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19) сроки размещения протокола подведения итогов отбора на едином портале, а также на официальном сайте министерства, которые не могут быть позднее 14-го календарного дня, следующего за днем определения получателя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20) наименование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21) информация о предельном размере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22) минимальные требования, необходимые для выполнения мероприятия (результата), установленные </w:t>
      </w:r>
      <w:hyperlink r:id="rId41">
        <w:r>
          <w:rPr>
            <w:rFonts w:ascii="Arial" w:hAnsi="Arial" w:eastAsia="Arial" w:cs="Arial"/>
            <w:b w:val="0"/>
            <w:bCs w:val="0"/>
            <w:i w:val="0"/>
            <w:iCs w:val="0"/>
            <w:strike w:val="0"/>
            <w:color w:val="0000ff"/>
            <w:sz w:val="16"/>
            <w:szCs w:val="16"/>
            <w:lang w:val="ru-RU" w:bidi="zh-CN"/>
          </w:rPr>
          <w:t xml:space="preserve">подпунктом 7 пункта 28</w:t>
        </w:r>
      </w:hyperlink>
      <w:r>
        <w:rPr>
          <w:rFonts w:ascii="Arial" w:hAnsi="Arial" w:eastAsia="Arial" w:cs="Arial"/>
          <w:b w:val="0"/>
          <w:bCs w:val="0"/>
          <w:i w:val="0"/>
          <w:iCs w:val="0"/>
          <w:strike w:val="0"/>
          <w:color w:val="auto"/>
          <w:sz w:val="16"/>
          <w:szCs w:val="16"/>
          <w:lang w:val="ru-RU" w:bidi="zh-CN"/>
        </w:rPr>
        <w:t xml:space="preserve"> настоящего Порядка.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1" w:name="Par1232"/>
      <w:bookmarkEnd w:id="11"/>
      <w:r>
        <w:rPr>
          <w:rFonts w:ascii="Arial" w:hAnsi="Arial" w:eastAsia="Arial" w:cs="Arial"/>
          <w:b w:val="0"/>
          <w:bCs w:val="0"/>
          <w:i w:val="0"/>
          <w:iCs w:val="0"/>
          <w:strike w:val="0"/>
          <w:color w:val="auto"/>
          <w:sz w:val="16"/>
          <w:szCs w:val="16"/>
          <w:lang w:val="ru-RU" w:bidi="zh-CN"/>
        </w:rPr>
        <w:t xml:space="preserve">30. Участники отбора для получения субсидии в порядке отбора представляют заявку о предоставлении субсидии (по форме, утвержденной приказом министерства) с указанием предварительного расчета размера субсидии, информации, указанной в </w:t>
      </w:r>
      <w:hyperlink r:id="rId42">
        <w:r>
          <w:rPr>
            <w:rFonts w:ascii="Arial" w:hAnsi="Arial" w:eastAsia="Arial" w:cs="Arial"/>
            <w:b w:val="0"/>
            <w:bCs w:val="0"/>
            <w:i w:val="0"/>
            <w:iCs w:val="0"/>
            <w:strike w:val="0"/>
            <w:color w:val="0000ff"/>
            <w:sz w:val="16"/>
            <w:szCs w:val="16"/>
            <w:lang w:val="ru-RU" w:bidi="zh-CN"/>
          </w:rPr>
          <w:t xml:space="preserve">пункте 46</w:t>
        </w:r>
      </w:hyperlink>
      <w:r>
        <w:rPr>
          <w:rFonts w:ascii="Arial" w:hAnsi="Arial" w:eastAsia="Arial" w:cs="Arial"/>
          <w:b w:val="0"/>
          <w:bCs w:val="0"/>
          <w:i w:val="0"/>
          <w:iCs w:val="0"/>
          <w:strike w:val="0"/>
          <w:color w:val="auto"/>
          <w:sz w:val="16"/>
          <w:szCs w:val="16"/>
          <w:lang w:val="ru-RU" w:bidi="zh-CN"/>
        </w:rPr>
        <w:t xml:space="preserve"> настоящего Порядка, согласия на публикацию (размещение) в информационно-телекоммуникационной сети "Интернет" информации об участнике отбора, о подаваемой заявке.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2" w:name="Par1233"/>
      <w:bookmarkEnd w:id="12"/>
      <w:r>
        <w:rPr>
          <w:rFonts w:ascii="Arial" w:hAnsi="Arial" w:eastAsia="Arial" w:cs="Arial"/>
          <w:b w:val="0"/>
          <w:bCs w:val="0"/>
          <w:i w:val="0"/>
          <w:iCs w:val="0"/>
          <w:strike w:val="0"/>
          <w:color w:val="auto"/>
          <w:sz w:val="16"/>
          <w:szCs w:val="16"/>
          <w:lang w:val="ru-RU" w:bidi="zh-CN"/>
        </w:rPr>
        <w:t xml:space="preserve">31. Заявки формируются участниками отбора на участие в отборе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33. Датой представления участником отбора заявки считается день подписания участником отбора заявки с присвоением ей регистрационного номера в ГИИС "Электронный бюджет".</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34. В заявке содержится информация об участнике отбора, документы, подтверждающие соответствие участника отбора требованиям, установленным </w:t>
      </w:r>
      <w:hyperlink r:id="rId43">
        <w:r>
          <w:rPr>
            <w:rFonts w:ascii="Arial" w:hAnsi="Arial" w:eastAsia="Arial" w:cs="Arial"/>
            <w:b w:val="0"/>
            <w:bCs w:val="0"/>
            <w:i w:val="0"/>
            <w:iCs w:val="0"/>
            <w:strike w:val="0"/>
            <w:color w:val="0000ff"/>
            <w:sz w:val="16"/>
            <w:szCs w:val="16"/>
            <w:lang w:val="ru-RU" w:bidi="zh-CN"/>
          </w:rPr>
          <w:t xml:space="preserve">пунктом 6</w:t>
        </w:r>
      </w:hyperlink>
      <w:r>
        <w:rPr>
          <w:rFonts w:ascii="Arial" w:hAnsi="Arial" w:eastAsia="Arial" w:cs="Arial"/>
          <w:b w:val="0"/>
          <w:bCs w:val="0"/>
          <w:i w:val="0"/>
          <w:iCs w:val="0"/>
          <w:strike w:val="0"/>
          <w:color w:val="auto"/>
          <w:sz w:val="16"/>
          <w:szCs w:val="16"/>
          <w:lang w:val="ru-RU" w:bidi="zh-CN"/>
        </w:rPr>
        <w:t xml:space="preserve"> настоящего Порядка, предлагаемые участником отбора значения результата предоставления субсидии и размер запрашиваемой субсидии, в том числе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3" w:name="Par1237"/>
      <w:bookmarkEnd w:id="13"/>
      <w:r>
        <w:rPr>
          <w:rFonts w:ascii="Arial" w:hAnsi="Arial" w:eastAsia="Arial" w:cs="Arial"/>
          <w:b w:val="0"/>
          <w:bCs w:val="0"/>
          <w:i w:val="0"/>
          <w:iCs w:val="0"/>
          <w:strike w:val="0"/>
          <w:color w:val="auto"/>
          <w:sz w:val="16"/>
          <w:szCs w:val="16"/>
          <w:lang w:val="ru-RU" w:bidi="zh-CN"/>
        </w:rPr>
        <w:t xml:space="preserve">35. Любой участник отбора со дня размещения объявления о проведении отбора получателей субсидий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36. Министерство в ответ на запрос, указанный в </w:t>
      </w:r>
      <w:hyperlink r:id="rId44">
        <w:r>
          <w:rPr>
            <w:rFonts w:ascii="Arial" w:hAnsi="Arial" w:eastAsia="Arial" w:cs="Arial"/>
            <w:b w:val="0"/>
            <w:bCs w:val="0"/>
            <w:i w:val="0"/>
            <w:iCs w:val="0"/>
            <w:strike w:val="0"/>
            <w:color w:val="0000ff"/>
            <w:sz w:val="16"/>
            <w:szCs w:val="16"/>
            <w:lang w:val="ru-RU" w:bidi="zh-CN"/>
          </w:rPr>
          <w:t xml:space="preserve">пункте 35</w:t>
        </w:r>
      </w:hyperlink>
      <w:r>
        <w:rPr>
          <w:rFonts w:ascii="Arial" w:hAnsi="Arial" w:eastAsia="Arial" w:cs="Arial"/>
          <w:b w:val="0"/>
          <w:bCs w:val="0"/>
          <w:i w:val="0"/>
          <w:iCs w:val="0"/>
          <w:strike w:val="0"/>
          <w:color w:val="auto"/>
          <w:sz w:val="16"/>
          <w:szCs w:val="16"/>
          <w:lang w:val="ru-RU" w:bidi="zh-CN"/>
        </w:rPr>
        <w:t xml:space="preserve">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Доступ к разъяснению, формируемому в ГИИС "Электронный бюджет", предоставляется всем участникам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37. Заявка может быть отозвана участником отбора до окончания срока приема заявок, указанного в объявлении о проведении отбора. Отозванные заявки не учитываются при проведении отбора на предоставление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38. Участником отбора могут быть внесены изменения в заявку до дня окончания срока приема заявок, указанного в объявлении о проведении отбора, после формирования участником отбора в электронной форме уведомления об отзыве заявки и последующего формирования новой заявки.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39.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45">
        <w:r>
          <w:rPr>
            <w:rFonts w:ascii="Arial" w:hAnsi="Arial" w:eastAsia="Arial" w:cs="Arial"/>
            <w:b w:val="0"/>
            <w:bCs w:val="0"/>
            <w:i w:val="0"/>
            <w:iCs w:val="0"/>
            <w:strike w:val="0"/>
            <w:color w:val="0000ff"/>
            <w:sz w:val="16"/>
            <w:szCs w:val="16"/>
            <w:lang w:val="ru-RU" w:bidi="zh-CN"/>
          </w:rPr>
          <w:t xml:space="preserve">пункте 31</w:t>
        </w:r>
      </w:hyperlink>
      <w:r>
        <w:rPr>
          <w:rFonts w:ascii="Arial" w:hAnsi="Arial" w:eastAsia="Arial" w:cs="Arial"/>
          <w:b w:val="0"/>
          <w:bCs w:val="0"/>
          <w:i w:val="0"/>
          <w:iCs w:val="0"/>
          <w:strike w:val="0"/>
          <w:color w:val="auto"/>
          <w:sz w:val="16"/>
          <w:szCs w:val="16"/>
          <w:lang w:val="ru-RU" w:bidi="zh-CN"/>
        </w:rPr>
        <w:t xml:space="preserve"> настоящего Порядка.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40. Возврат заявок участниками отбора осуществляется путем их отклонения по основаниям, указанным в </w:t>
      </w:r>
      <w:hyperlink r:id="rId46">
        <w:r>
          <w:rPr>
            <w:rFonts w:ascii="Arial" w:hAnsi="Arial" w:eastAsia="Arial" w:cs="Arial"/>
            <w:b w:val="0"/>
            <w:bCs w:val="0"/>
            <w:i w:val="0"/>
            <w:iCs w:val="0"/>
            <w:strike w:val="0"/>
            <w:color w:val="0000ff"/>
            <w:sz w:val="16"/>
            <w:szCs w:val="16"/>
            <w:lang w:val="ru-RU" w:bidi="zh-CN"/>
          </w:rPr>
          <w:t xml:space="preserve">пункте 47</w:t>
        </w:r>
      </w:hyperlink>
      <w:r>
        <w:rPr>
          <w:rFonts w:ascii="Arial" w:hAnsi="Arial" w:eastAsia="Arial" w:cs="Arial"/>
          <w:b w:val="0"/>
          <w:bCs w:val="0"/>
          <w:i w:val="0"/>
          <w:iCs w:val="0"/>
          <w:strike w:val="0"/>
          <w:color w:val="auto"/>
          <w:sz w:val="16"/>
          <w:szCs w:val="16"/>
          <w:lang w:val="ru-RU" w:bidi="zh-CN"/>
        </w:rPr>
        <w:t xml:space="preserve"> настоящего Порядка.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41. При рассмотрении заявок, в которых выявлены основания для их возврата на доработку, конкурсной комиссией по проведению отбора (далее - конкурсная комиссия) принимается решение о возврате заявки участнику отбора на доработку. Основания для возврата заявки на доработку:</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несоответствие представленных документов и (или) заявки требованиям, установленным в объявлении;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непредставление (представление не в полном объеме) документов, указанных в объявлении, и (или) незаполнение форм документов либо заполнение форм документов частично; плохое качество изображения символов, букв и цифр, не позволяющее их прочитать.</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Решение о возврате заявки доводится до участников отбора с использованием ГИИС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Участник отбора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42. В целях предоставления субсидии получателям субсидий министерство формирует конкурсную комиссию, которая проводит отбор получателей субсидии. Состав и положение конкурсной комиссии утверждаются приказом министерства.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или членов конкурсной комиссии в ГИИС "Электронный бюджет", а также размещается на едином портале не позднее одного рабочего дня, следующего за днем его подписания.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44. Порядок ранжирования поступивших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45.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ГИИС "Электронный бюджет" открывается доступ конкурсной комиссии к поданным участниками отбора заявкам для их рассмотрения и оценки.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4" w:name="Par1253"/>
      <w:bookmarkEnd w:id="14"/>
      <w:r>
        <w:rPr>
          <w:rFonts w:ascii="Arial" w:hAnsi="Arial" w:eastAsia="Arial" w:cs="Arial"/>
          <w:b w:val="0"/>
          <w:bCs w:val="0"/>
          <w:i w:val="0"/>
          <w:iCs w:val="0"/>
          <w:strike w:val="0"/>
          <w:color w:val="auto"/>
          <w:sz w:val="16"/>
          <w:szCs w:val="16"/>
          <w:lang w:val="ru-RU" w:bidi="zh-CN"/>
        </w:rPr>
        <w:t xml:space="preserve">46. Для определения получателей субсидии заявки оцениваются конкурсной комиссией по следующим критериям:</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top w:w="0" w:type="dxa"/>
          <w:right w:w="0" w:type="dxa"/>
          <w:bottom w:w="0" w:type="dxa"/>
        </w:tblCellMar>
      </w:tblPr>
      <w:tblGrid>
        <w:gridCol w:w="565"/>
        <w:gridCol w:w="4932"/>
        <w:gridCol w:w="3572"/>
      </w:tblGrid>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N п/п</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Критерии оценки</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Оценки показателей критериев</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Наличие у участника отбора квалифицированного кадрового потенциала, подтвержденного списками специалистов, необходимых для реализации мероприятия (результата) государственной программы (наличие у них опыта работы в социальной сфере), в соответствии с минимальными требованиями</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при отсутствии подтверждающих документов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1 до 2 специалистов - 2 балла;</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3 до 5 специалистов - 3 балла;</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6 до 7 специалистов - 5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свыше 7 специалистов - 7 баллов</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Наличие (количество) оборудования (в пригодном для работы состоянии) и других материальных ресурсов, планируемых к использованию (использованных) для достижения указанных результатов, в соответствии с минимальными требованиями, наличие которых подтверждено документами</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при отсутствии оборудования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1 до 10 единиц - 1 балл;</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11 до 20 единиц - 3 балла;</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свыше 20 единиц - 5 баллов</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Соотношение размера запрашиваемой субсидии и размера заемных и (или) собственных средств, планируемых к привлечению для достижения указанных результатов</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менее 25%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25% до 35% - 1 балл;</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36% до 100% - 3 балла;</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более 100% - 5 баллов</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Продолжительность осуществления деятельности участника отбора на территории Новосибирской области в социальной сфере</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менее 6 месяцев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6 месяцев до 5 лет - 1 балл;</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свыше 5 лет - 2 балла</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Размещение на официальном сайте субъекта в сети "Интернет" либо на официальном сайте Общественной палаты Новосибирской области в сети "Интернет" публичного годового отчета участника отбора за год, предшествующий году, в котором проводится отбор, содержащего информацию о целях и задачах деятельности участника отбора, проектах, реализованных участником отбора, об использованных собственных денежных средствах, грантах, субсидиях, привлеченных участником отбора для реализации проектов</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отсутствие размещения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размещение - 1 балл</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Количество граждан, вовлеченных участником отбора в реализацию мероприятия (результата) государственной программы</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1 до 29 человек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30 до 40 человек - 1 балл;</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41 до 60 человек - 2 балла;</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61 до 90 человек - 3 балла;</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91 до 130 человек - 4 балла;</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свыше 130 человек - 5 баллов</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7</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Количество муниципальных образований, на территории которых планируется реализовать (реализовано) мероприятие (результат) государственной программы</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муниципальное образование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 2 до 3 муниципальных образований - 1 балл;</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более 3 муниципальных образований - 3 балла</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8</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Обеспечение участником отбора при реализации мероприятия (результата) государственной программы условий доступности для инвалидов и других маломобильных групп населения, установленных </w:t>
            </w:r>
            <w:hyperlink r:id="rId47">
              <w:r>
                <w:rPr>
                  <w:rFonts w:ascii="Arial" w:hAnsi="Arial" w:eastAsia="Arial" w:cs="Arial"/>
                  <w:b w:val="0"/>
                  <w:bCs w:val="0"/>
                  <w:i w:val="0"/>
                  <w:iCs w:val="0"/>
                  <w:strike w:val="0"/>
                  <w:color w:val="0000ff"/>
                  <w:sz w:val="16"/>
                  <w:szCs w:val="16"/>
                  <w:lang w:val="ru-RU" w:bidi="zh-CN"/>
                </w:rPr>
                <w:t xml:space="preserve">пунктами 1</w:t>
              </w:r>
            </w:hyperlink>
            <w:r>
              <w:rPr>
                <w:rFonts w:ascii="Arial" w:hAnsi="Arial" w:eastAsia="Arial" w:cs="Arial"/>
                <w:b w:val="0"/>
                <w:bCs w:val="0"/>
                <w:i w:val="0"/>
                <w:iCs w:val="0"/>
                <w:strike w:val="0"/>
                <w:color w:val="auto"/>
                <w:sz w:val="16"/>
                <w:szCs w:val="16"/>
                <w:lang w:val="ru-RU" w:bidi="zh-CN"/>
              </w:rPr>
              <w:t xml:space="preserve"> - </w:t>
            </w:r>
            <w:hyperlink r:id="rId48">
              <w:r>
                <w:rPr>
                  <w:rFonts w:ascii="Arial" w:hAnsi="Arial" w:eastAsia="Arial" w:cs="Arial"/>
                  <w:b w:val="0"/>
                  <w:bCs w:val="0"/>
                  <w:i w:val="0"/>
                  <w:iCs w:val="0"/>
                  <w:strike w:val="0"/>
                  <w:color w:val="0000ff"/>
                  <w:sz w:val="16"/>
                  <w:szCs w:val="16"/>
                  <w:lang w:val="ru-RU" w:bidi="zh-CN"/>
                </w:rPr>
                <w:t xml:space="preserve">8 статьи 15</w:t>
              </w:r>
            </w:hyperlink>
            <w:r>
              <w:rPr>
                <w:rFonts w:ascii="Arial" w:hAnsi="Arial" w:eastAsia="Arial" w:cs="Arial"/>
                <w:b w:val="0"/>
                <w:bCs w:val="0"/>
                <w:i w:val="0"/>
                <w:iCs w:val="0"/>
                <w:strike w:val="0"/>
                <w:color w:val="auto"/>
                <w:sz w:val="16"/>
                <w:szCs w:val="16"/>
                <w:lang w:val="ru-RU" w:bidi="zh-CN"/>
              </w:rPr>
              <w:t xml:space="preserve"> Федерального закона от 24.11.1995 N 181-ФЗ "О социальной защите инвалидов в Российской Федерации"</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необеспечение условий доступности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обеспечение условий доступности - 3 балла</w:t>
            </w:r>
          </w:p>
        </w:tc>
      </w:tr>
      <w:tr>
        <w:trPr>
          <w:jc w:val="left"/>
        </w:trPr>
        <w:tc>
          <w:tcPr>
            <w:tcW w:w="565"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9</w:t>
            </w:r>
          </w:p>
        </w:tc>
        <w:tc>
          <w:tcPr>
            <w:tcW w:w="493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Представление участником отбора документов, подтверждающих не менее одного факта проведения антикоррупционных мероприятий:</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по нормативному обеспечению, закреплению стандартов поведения и декларации намерений (наличие не менее одного из следующих документов: разработка и принятие кодекса этики и служебного поведения работников организации; разработка и внедрение положения о конфликте интересов, декларации о конфликте интересов; присоединение к Антикоррупционной хартии российского бизнеса; введение в договоры, связанные с хозяйственной деятельностью организации, стандартной антикоррупционной оговорки; введение антикоррупционных положений в трудовые договоры работников);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по периодическому проведению внешнего аудита;</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по привлечению внешних независимых экспертов при осуществлении хозяйственной деятельности организации и организации антикоррупционных мер</w:t>
            </w:r>
          </w:p>
        </w:tc>
        <w:tc>
          <w:tcPr>
            <w:tcW w:w="3572" w:type="dxa"/>
            <w:tcBorders>
              <w:top w:val="single" w:color="000000" w:sz="4"/>
              <w:left w:val="single" w:color="000000" w:sz="4"/>
              <w:bottom w:val="single" w:color="000000" w:sz="4"/>
              <w:right w:val="single" w:color="000000" w:sz="4"/>
            </w:tcBorders>
            <w:tcMar>
              <w:left w:w="62" w:type="dxa"/>
              <w:top w:w="102" w:type="dxa"/>
              <w:right w:w="62" w:type="dxa"/>
              <w:bottom w:w="102" w:type="dxa"/>
            </w:tcMar>
          </w:tcPr>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отсутствие документов - 0 баллов;</w:t>
            </w:r>
          </w:p>
          <w:p>
            <w:pPr>
              <w:pStyle w:val="Style_23"/>
              <w:spacing w:before="0" w:after="0" w:line="240" w:lineRule="auto"/>
              <w:ind w:left="0" w:firstLine="0"/>
              <w:jc w:val="left"/>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представление документов - 1 балл</w:t>
            </w:r>
          </w:p>
        </w:tc>
      </w:tr>
    </w:tbl>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По каждому критерию каждой заявке выставляются баллы от 0 до 7.</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По результатам оценки заявок конкурсная комиссия рассчитывает рейтинг заявки на участие в отборе путем сложения баллов по каждому критерию.</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Конкурсная комиссия устанавливает минимальное значение рейтинга заявки на участие в отборе, которое определяется по формуле:</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 = ОКБ / N, где:</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Р - минимальное значение рейтинга заявки на участие в отборе;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ОКБ - общее количество баллов, набранных участниками;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N - количество участников.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Получателями субсидии признаются участники отбора, включенные в рейтинг, сформированный по результатам ранжирования поступивших заявок до достижения предельного количества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соответствии с </w:t>
      </w:r>
      <w:hyperlink r:id="rId49">
        <w:r>
          <w:rPr>
            <w:rFonts w:ascii="Arial" w:hAnsi="Arial" w:eastAsia="Arial" w:cs="Arial"/>
            <w:b w:val="0"/>
            <w:bCs w:val="0"/>
            <w:i w:val="0"/>
            <w:iCs w:val="0"/>
            <w:strike w:val="0"/>
            <w:color w:val="0000ff"/>
            <w:sz w:val="16"/>
            <w:szCs w:val="16"/>
            <w:lang w:val="ru-RU" w:bidi="zh-CN"/>
          </w:rPr>
          <w:t xml:space="preserve">подпунктом 15 пункта 29</w:t>
        </w:r>
      </w:hyperlink>
      <w:r>
        <w:rPr>
          <w:rFonts w:ascii="Arial" w:hAnsi="Arial" w:eastAsia="Arial" w:cs="Arial"/>
          <w:b w:val="0"/>
          <w:bCs w:val="0"/>
          <w:i w:val="0"/>
          <w:iCs w:val="0"/>
          <w:strike w:val="0"/>
          <w:color w:val="auto"/>
          <w:sz w:val="16"/>
          <w:szCs w:val="16"/>
          <w:lang w:val="ru-RU" w:bidi="zh-CN"/>
        </w:rPr>
        <w:t xml:space="preserve"> настоящего Порядка.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Участник отбора, набравший по результатам оценки поданных участниками отбора заявок балл меньший, чем установленный в объявлении о проведении отбора получателей субсидий минимальный проходной балл (при его установлении), не признается победителем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5" w:name="Par1322"/>
      <w:bookmarkEnd w:id="15"/>
      <w:r>
        <w:rPr>
          <w:rFonts w:ascii="Arial" w:hAnsi="Arial" w:eastAsia="Arial" w:cs="Arial"/>
          <w:b w:val="0"/>
          <w:bCs w:val="0"/>
          <w:i w:val="0"/>
          <w:iCs w:val="0"/>
          <w:strike w:val="0"/>
          <w:color w:val="auto"/>
          <w:sz w:val="16"/>
          <w:szCs w:val="16"/>
          <w:lang w:val="ru-RU" w:bidi="zh-CN"/>
        </w:rPr>
        <w:t xml:space="preserve">47. Основаниями для отклонения заявки участника отбора на стадии ее рассмотрения и оценки являются: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несоответствие участника отбора требованиям, установленным в соответствии с </w:t>
      </w:r>
      <w:hyperlink r:id="rId50">
        <w:r>
          <w:rPr>
            <w:rFonts w:ascii="Arial" w:hAnsi="Arial" w:eastAsia="Arial" w:cs="Arial"/>
            <w:b w:val="0"/>
            <w:bCs w:val="0"/>
            <w:i w:val="0"/>
            <w:iCs w:val="0"/>
            <w:strike w:val="0"/>
            <w:color w:val="0000ff"/>
            <w:sz w:val="16"/>
            <w:szCs w:val="16"/>
            <w:lang w:val="ru-RU" w:bidi="zh-CN"/>
          </w:rPr>
          <w:t xml:space="preserve">пунктом 6</w:t>
        </w:r>
      </w:hyperlink>
      <w:r>
        <w:rPr>
          <w:rFonts w:ascii="Arial" w:hAnsi="Arial" w:eastAsia="Arial" w:cs="Arial"/>
          <w:b w:val="0"/>
          <w:bCs w:val="0"/>
          <w:i w:val="0"/>
          <w:iCs w:val="0"/>
          <w:strike w:val="0"/>
          <w:color w:val="auto"/>
          <w:sz w:val="16"/>
          <w:szCs w:val="16"/>
          <w:lang w:val="ru-RU" w:bidi="zh-CN"/>
        </w:rPr>
        <w:t xml:space="preserve"> настоящего Порядка;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 подача участником отбора заявки после даты и (или) времени, определенных для подачи заявок.</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48. По результатам рассмотрения заявок не позднее одного рабочего дня со дня окончания срока рассмотрения заявок конкурсной комиссией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49.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или членов конкурсной комиссии в ГИИС "Электронный бюджет", а также размещается на едином портале не позднее одного рабочего дня, следующего за днем его подписания.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50. В целях завершения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51. Протокол подведения итогов отбора формируется на едином портале автоматически на основании результатов отбора получателей субсидий и подписывается усиленной квалифицированной электронной подписью руководителя министерства (уполномоченного им лица) или членов конкурсной комиссии в ГИИС "Электронный бюджет", а также указанный протокол размещается на едином портале не позднее одного рабочего дня, следующего за днем его подписания.</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52. Отбор получателей субсидии признается несостоявшимся в случаях:</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отсутствия поданных заявок;</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все заявки отозваны или отклонены либо не допущены к отбору;</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53. Решение об отмене проведения отбора оформляется приказом министерства.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54.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55.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 получателей субсидий.</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6" w:name="Par1339"/>
      <w:bookmarkEnd w:id="16"/>
      <w:r>
        <w:rPr>
          <w:rFonts w:ascii="Arial" w:hAnsi="Arial" w:eastAsia="Arial" w:cs="Arial"/>
          <w:b w:val="0"/>
          <w:bCs w:val="0"/>
          <w:i w:val="0"/>
          <w:iCs w:val="0"/>
          <w:strike w:val="0"/>
          <w:color w:val="auto"/>
          <w:sz w:val="16"/>
          <w:szCs w:val="16"/>
          <w:lang w:val="ru-RU" w:bidi="zh-CN"/>
        </w:rPr>
        <w:t xml:space="preserve">56. Участники отбора, подавшие заявки, информируются об отмене проведения отбора получателей субсидий в ГИИС "Электронный бюджет".</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57. Отбор получателей субсидий считается отмененным со дня размещения объявления о его отмене на едином портале.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58. Распределение субсидии между получателями субсидий происходит следующим способом: получателю субсидии,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получателей субсидий.</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В случае если субсидия, распределяемая в рамках отбора получателей субсидий, больше размера субсидии, указанного в заявке с присвоенным первым порядковым номером, оставшийся размер субсидии распределяется между остальными получателями субсидии, включенными в рейтинг.</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Каждому следующему получателю субсидии,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получателей субсидий (при установлении максимального размера субсидии), в случае если указанный им размер меньше нераспределенного размера субсидии либо равен ему.</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В случае если размер субсидии, указанный в заявке, больше нераспределенного размера субсидии, такому получателю субсидии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(при установлении максимального размера субсидии), без изменения указанного в заявке значения результата предоставления субсидии.</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IV. Требования к представлению отчетности, осуществлению</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контроля (мониторинга) за соблюдением условий и порядка</w:t>
      </w:r>
    </w:p>
    <w:p>
      <w:pPr>
        <w:pStyle w:val="Style_23"/>
        <w:spacing w:before="0" w:after="0" w:line="240" w:lineRule="auto"/>
        <w:ind w:left="0" w:firstLine="0"/>
        <w:jc w:val="center"/>
        <w:rPr>
          <w:rFonts w:ascii="Arial" w:hAnsi="Arial" w:eastAsia="Arial" w:cs="Arial"/>
          <w:b w:val="0"/>
          <w:bCs w:val="0"/>
          <w:i w:val="0"/>
          <w:iCs w:val="0"/>
          <w:strike w:val="0"/>
          <w:color w:val="auto"/>
          <w:sz w:val="16"/>
          <w:szCs w:val="16"/>
          <w:lang w:val="ru-RU" w:bidi="zh-CN"/>
        </w:rPr>
      </w:pPr>
      <w:r>
        <w:rPr>
          <w:rFonts w:ascii="Arial" w:hAnsi="Arial" w:eastAsia="Arial" w:cs="Arial"/>
          <w:b/>
          <w:bCs/>
          <w:i w:val="0"/>
          <w:iCs w:val="0"/>
          <w:strike w:val="0"/>
          <w:color w:val="auto"/>
          <w:sz w:val="16"/>
          <w:szCs w:val="16"/>
          <w:lang w:val="ru-RU" w:bidi="zh-CN"/>
        </w:rPr>
        <w:t xml:space="preserve">предоставления субсидий и ответственности за их нарушение</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59. Отчетность, предусмотренная </w:t>
      </w:r>
      <w:hyperlink r:id="rId51">
        <w:r>
          <w:rPr>
            <w:rFonts w:ascii="Arial" w:hAnsi="Arial" w:eastAsia="Arial" w:cs="Arial"/>
            <w:b w:val="0"/>
            <w:bCs w:val="0"/>
            <w:i w:val="0"/>
            <w:iCs w:val="0"/>
            <w:strike w:val="0"/>
            <w:color w:val="0000ff"/>
            <w:sz w:val="16"/>
            <w:szCs w:val="16"/>
            <w:lang w:val="ru-RU" w:bidi="zh-CN"/>
          </w:rPr>
          <w:t xml:space="preserve">пунктами 60</w:t>
        </w:r>
      </w:hyperlink>
      <w:r>
        <w:rPr>
          <w:rFonts w:ascii="Arial" w:hAnsi="Arial" w:eastAsia="Arial" w:cs="Arial"/>
          <w:b w:val="0"/>
          <w:bCs w:val="0"/>
          <w:i w:val="0"/>
          <w:iCs w:val="0"/>
          <w:strike w:val="0"/>
          <w:color w:val="auto"/>
          <w:sz w:val="16"/>
          <w:szCs w:val="16"/>
          <w:lang w:val="ru-RU" w:bidi="zh-CN"/>
        </w:rPr>
        <w:t xml:space="preserve">, </w:t>
      </w:r>
      <w:hyperlink r:id="rId52">
        <w:r>
          <w:rPr>
            <w:rFonts w:ascii="Arial" w:hAnsi="Arial" w:eastAsia="Arial" w:cs="Arial"/>
            <w:b w:val="0"/>
            <w:bCs w:val="0"/>
            <w:i w:val="0"/>
            <w:iCs w:val="0"/>
            <w:strike w:val="0"/>
            <w:color w:val="0000ff"/>
            <w:sz w:val="16"/>
            <w:szCs w:val="16"/>
            <w:lang w:val="ru-RU" w:bidi="zh-CN"/>
          </w:rPr>
          <w:t xml:space="preserve">61</w:t>
        </w:r>
      </w:hyperlink>
      <w:r>
        <w:rPr>
          <w:rFonts w:ascii="Arial" w:hAnsi="Arial" w:eastAsia="Arial" w:cs="Arial"/>
          <w:b w:val="0"/>
          <w:bCs w:val="0"/>
          <w:i w:val="0"/>
          <w:iCs w:val="0"/>
          <w:strike w:val="0"/>
          <w:color w:val="auto"/>
          <w:sz w:val="16"/>
          <w:szCs w:val="16"/>
          <w:lang w:val="ru-RU" w:bidi="zh-CN"/>
        </w:rPr>
        <w:t xml:space="preserve"> настоящего Порядка, представляется с использованием ГИИС "Электронный бюджет" по формам, утвержденным </w:t>
      </w:r>
      <w:hyperlink r:id="rId53">
        <w:r>
          <w:rPr>
            <w:rFonts w:ascii="Arial" w:hAnsi="Arial" w:eastAsia="Arial" w:cs="Arial"/>
            <w:b w:val="0"/>
            <w:bCs w:val="0"/>
            <w:i w:val="0"/>
            <w:iCs w:val="0"/>
            <w:strike w:val="0"/>
            <w:color w:val="0000ff"/>
            <w:sz w:val="16"/>
            <w:szCs w:val="16"/>
            <w:lang w:val="ru-RU" w:bidi="zh-CN"/>
          </w:rPr>
          <w:t xml:space="preserve">приказом</w:t>
        </w:r>
      </w:hyperlink>
      <w:r>
        <w:rPr>
          <w:rFonts w:ascii="Arial" w:hAnsi="Arial" w:eastAsia="Arial" w:cs="Arial"/>
          <w:b w:val="0"/>
          <w:bCs w:val="0"/>
          <w:i w:val="0"/>
          <w:iCs w:val="0"/>
          <w:strike w:val="0"/>
          <w:color w:val="auto"/>
          <w:sz w:val="16"/>
          <w:szCs w:val="16"/>
          <w:lang w:val="ru-RU" w:bidi="zh-CN"/>
        </w:rPr>
        <w:t xml:space="preserve"> N 57-НПА.</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7" w:name="Par1351"/>
      <w:bookmarkEnd w:id="17"/>
      <w:r>
        <w:rPr>
          <w:rFonts w:ascii="Arial" w:hAnsi="Arial" w:eastAsia="Arial" w:cs="Arial"/>
          <w:b w:val="0"/>
          <w:bCs w:val="0"/>
          <w:i w:val="0"/>
          <w:iCs w:val="0"/>
          <w:strike w:val="0"/>
          <w:color w:val="auto"/>
          <w:sz w:val="16"/>
          <w:szCs w:val="16"/>
          <w:lang w:val="ru-RU" w:bidi="zh-CN"/>
        </w:rPr>
        <w:t xml:space="preserve">60. Отчет о достижении значений результатов предоставления субсидии, а также характеристик результата представляется ежеквартально, не позднее 15 рабочих дней, следующих за отчетным периодом.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8" w:name="Par1352"/>
      <w:bookmarkEnd w:id="18"/>
      <w:r>
        <w:rPr>
          <w:rFonts w:ascii="Arial" w:hAnsi="Arial" w:eastAsia="Arial" w:cs="Arial"/>
          <w:b w:val="0"/>
          <w:bCs w:val="0"/>
          <w:i w:val="0"/>
          <w:iCs w:val="0"/>
          <w:strike w:val="0"/>
          <w:color w:val="auto"/>
          <w:sz w:val="16"/>
          <w:szCs w:val="16"/>
          <w:lang w:val="ru-RU" w:bidi="zh-CN"/>
        </w:rPr>
        <w:t xml:space="preserve">61. Отчет об осуществлении расходов, источником финансового обеспечения которых является субсидия, представляется ежеквартально, не позднее 15 рабочих дней, следующих за отчетным периодом.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bookmarkStart w:id="19" w:name="Par1353"/>
      <w:bookmarkEnd w:id="19"/>
      <w:r>
        <w:rPr>
          <w:rFonts w:ascii="Arial" w:hAnsi="Arial" w:eastAsia="Arial" w:cs="Arial"/>
          <w:b w:val="0"/>
          <w:bCs w:val="0"/>
          <w:i w:val="0"/>
          <w:iCs w:val="0"/>
          <w:strike w:val="0"/>
          <w:color w:val="auto"/>
          <w:sz w:val="16"/>
          <w:szCs w:val="16"/>
          <w:lang w:val="ru-RU" w:bidi="zh-CN"/>
        </w:rPr>
        <w:t xml:space="preserve">62. Министерство вправе устанавливать в Соглашении сроки и формы представления дополнительной отчетности, с приложением заверенных получателем субсидий копий документов, подтверждающих целевое расходование средств субсидии, пояснительных записок к представленным документам.</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63. Министерство осуществляет проверку отчетов, указанных в </w:t>
      </w:r>
      <w:hyperlink r:id="rId54">
        <w:r>
          <w:rPr>
            <w:rFonts w:ascii="Arial" w:hAnsi="Arial" w:eastAsia="Arial" w:cs="Arial"/>
            <w:b w:val="0"/>
            <w:bCs w:val="0"/>
            <w:i w:val="0"/>
            <w:iCs w:val="0"/>
            <w:strike w:val="0"/>
            <w:color w:val="0000ff"/>
            <w:sz w:val="16"/>
            <w:szCs w:val="16"/>
            <w:lang w:val="ru-RU" w:bidi="zh-CN"/>
          </w:rPr>
          <w:t xml:space="preserve">пунктах 60</w:t>
        </w:r>
      </w:hyperlink>
      <w:r>
        <w:rPr>
          <w:rFonts w:ascii="Arial" w:hAnsi="Arial" w:eastAsia="Arial" w:cs="Arial"/>
          <w:b w:val="0"/>
          <w:bCs w:val="0"/>
          <w:i w:val="0"/>
          <w:iCs w:val="0"/>
          <w:strike w:val="0"/>
          <w:color w:val="auto"/>
          <w:sz w:val="16"/>
          <w:szCs w:val="16"/>
          <w:lang w:val="ru-RU" w:bidi="zh-CN"/>
        </w:rPr>
        <w:t xml:space="preserve"> - </w:t>
      </w:r>
      <w:hyperlink r:id="rId55">
        <w:r>
          <w:rPr>
            <w:rFonts w:ascii="Arial" w:hAnsi="Arial" w:eastAsia="Arial" w:cs="Arial"/>
            <w:b w:val="0"/>
            <w:bCs w:val="0"/>
            <w:i w:val="0"/>
            <w:iCs w:val="0"/>
            <w:strike w:val="0"/>
            <w:color w:val="0000ff"/>
            <w:sz w:val="16"/>
            <w:szCs w:val="16"/>
            <w:lang w:val="ru-RU" w:bidi="zh-CN"/>
          </w:rPr>
          <w:t xml:space="preserve">62</w:t>
        </w:r>
      </w:hyperlink>
      <w:r>
        <w:rPr>
          <w:rFonts w:ascii="Arial" w:hAnsi="Arial" w:eastAsia="Arial" w:cs="Arial"/>
          <w:b w:val="0"/>
          <w:bCs w:val="0"/>
          <w:i w:val="0"/>
          <w:iCs w:val="0"/>
          <w:strike w:val="0"/>
          <w:color w:val="auto"/>
          <w:sz w:val="16"/>
          <w:szCs w:val="16"/>
          <w:lang w:val="ru-RU" w:bidi="zh-CN"/>
        </w:rPr>
        <w:t xml:space="preserve"> настоящего Порядка, в срок, не превышающий 30 рабочих дней со дня представления таких отчетов.</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64. Министерство осуществляет проверку соблюдения получателем субсидии условий и порядка предоставления субсидий, в том числе в части достижения результатов предоставления субсидии.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65.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w:t>
      </w:r>
      <w:hyperlink r:id="rId56">
        <w:r>
          <w:rPr>
            <w:rFonts w:ascii="Arial" w:hAnsi="Arial" w:eastAsia="Arial" w:cs="Arial"/>
            <w:b w:val="0"/>
            <w:bCs w:val="0"/>
            <w:i w:val="0"/>
            <w:iCs w:val="0"/>
            <w:strike w:val="0"/>
            <w:color w:val="0000ff"/>
            <w:sz w:val="16"/>
            <w:szCs w:val="16"/>
            <w:lang w:val="ru-RU" w:bidi="zh-CN"/>
          </w:rPr>
          <w:t xml:space="preserve">порядке</w:t>
        </w:r>
      </w:hyperlink>
      <w:r>
        <w:rPr>
          <w:rFonts w:ascii="Arial" w:hAnsi="Arial" w:eastAsia="Arial" w:cs="Arial"/>
          <w:b w:val="0"/>
          <w:bCs w:val="0"/>
          <w:i w:val="0"/>
          <w:iCs w:val="0"/>
          <w:strike w:val="0"/>
          <w:color w:val="auto"/>
          <w:sz w:val="16"/>
          <w:szCs w:val="16"/>
          <w:lang w:val="ru-RU" w:bidi="zh-CN"/>
        </w:rP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66. Органы государственного финансового контроля осуществляют проверку в соответствии со </w:t>
      </w:r>
      <w:hyperlink r:id="rId57">
        <w:r>
          <w:rPr>
            <w:rFonts w:ascii="Arial" w:hAnsi="Arial" w:eastAsia="Arial" w:cs="Arial"/>
            <w:b w:val="0"/>
            <w:bCs w:val="0"/>
            <w:i w:val="0"/>
            <w:iCs w:val="0"/>
            <w:strike w:val="0"/>
            <w:color w:val="0000ff"/>
            <w:sz w:val="16"/>
            <w:szCs w:val="16"/>
            <w:lang w:val="ru-RU" w:bidi="zh-CN"/>
          </w:rPr>
          <w:t xml:space="preserve">статьями 268.1</w:t>
        </w:r>
      </w:hyperlink>
      <w:r>
        <w:rPr>
          <w:rFonts w:ascii="Arial" w:hAnsi="Arial" w:eastAsia="Arial" w:cs="Arial"/>
          <w:b w:val="0"/>
          <w:bCs w:val="0"/>
          <w:i w:val="0"/>
          <w:iCs w:val="0"/>
          <w:strike w:val="0"/>
          <w:color w:val="auto"/>
          <w:sz w:val="16"/>
          <w:szCs w:val="16"/>
          <w:lang w:val="ru-RU" w:bidi="zh-CN"/>
        </w:rPr>
        <w:t xml:space="preserve"> и </w:t>
      </w:r>
      <w:hyperlink r:id="rId58">
        <w:r>
          <w:rPr>
            <w:rFonts w:ascii="Arial" w:hAnsi="Arial" w:eastAsia="Arial" w:cs="Arial"/>
            <w:b w:val="0"/>
            <w:bCs w:val="0"/>
            <w:i w:val="0"/>
            <w:iCs w:val="0"/>
            <w:strike w:val="0"/>
            <w:color w:val="0000ff"/>
            <w:sz w:val="16"/>
            <w:szCs w:val="16"/>
            <w:lang w:val="ru-RU" w:bidi="zh-CN"/>
          </w:rPr>
          <w:t xml:space="preserve">269.2</w:t>
        </w:r>
      </w:hyperlink>
      <w:r>
        <w:rPr>
          <w:rFonts w:ascii="Arial" w:hAnsi="Arial" w:eastAsia="Arial" w:cs="Arial"/>
          <w:b w:val="0"/>
          <w:bCs w:val="0"/>
          <w:i w:val="0"/>
          <w:iCs w:val="0"/>
          <w:strike w:val="0"/>
          <w:color w:val="auto"/>
          <w:sz w:val="16"/>
          <w:szCs w:val="16"/>
          <w:lang w:val="ru-RU" w:bidi="zh-CN"/>
        </w:rPr>
        <w:t xml:space="preserve"> Бюджетного кодекса Российской Федерации.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67.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значений результатов предоставления субсидии, министерство в течение десяти рабочих дней со дня установления факта нарушения письменно направляет получателю субсидии уведомление о возврате полученных средств в областной бюджет Новосибирской области.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68. Получатель субсидии обязан в течение 30 рабочих дней со дня получения уведомления перечислить всю сумму денежных средств, полученных в виде субсидии, в областной бюджет Новосибирской области.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69. Получатель субсидии возвращает в областной бюджет Новосибирской области в текущем финансовом году субсидию (остатки субсидии), не использованную в отчетном финансовом году, в случае отсутствия решения министерства, принятого по согласованию с министерством финансов и налоговой политики Новосибирской области, о наличии потребности в указанных средствах в следующем порядке:</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1) министерство в текущем финансовом году в течение 30 рабочих дней со дня получения от получателя субсидии отчетности об осуществлении расходов, источником финансового обеспечения которых является субсидия, за отчетный финансовый год направляет получателю субсидии письменное уведомление о возврате остатков субсидий, не использованных в отчетном финансовом году;</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2) получатель субсидии обязан в текущем финансовом году в течение десяти рабочих дней со дня получения от министерства письменного уведомления о возврате остатков субсидии, не использованной в отчетном году, перечислить их в областной бюджет Новосибирской области;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3) в случае невозврата получателем субсидии остатков субсидий взыскание указанных средств осуществляется в судебном порядке в соответствии с законодательством Российской Федерации.</w:t>
      </w:r>
    </w:p>
    <w:p>
      <w:pPr>
        <w:pStyle w:val="Style_23"/>
        <w:spacing w:before="160" w:after="0" w:line="240" w:lineRule="auto"/>
        <w:ind w:left="0" w:firstLine="540"/>
        <w:jc w:val="both"/>
        <w:rPr>
          <w:rFonts w:ascii="Arial" w:hAnsi="Arial" w:eastAsia="Arial" w:cs="Arial"/>
          <w:b w:val="0"/>
          <w:bCs w:val="0"/>
          <w:i w:val="0"/>
          <w:iCs w:val="0"/>
          <w:strike w:val="0"/>
          <w:color w:val="auto"/>
          <w:sz w:val="16"/>
          <w:szCs w:val="16"/>
          <w:lang w:val="ru-RU" w:bidi="zh-CN"/>
        </w:rPr>
      </w:pPr>
      <w:r>
        <w:rPr>
          <w:rFonts w:ascii="Arial" w:hAnsi="Arial" w:eastAsia="Arial" w:cs="Arial"/>
          <w:b w:val="0"/>
          <w:bCs w:val="0"/>
          <w:i w:val="0"/>
          <w:iCs w:val="0"/>
          <w:strike w:val="0"/>
          <w:color w:val="auto"/>
          <w:sz w:val="16"/>
          <w:szCs w:val="16"/>
          <w:lang w:val="ru-RU" w:bidi="zh-CN"/>
        </w:rPr>
        <w:t xml:space="preserve">70. Получатель субсидии несет ответственность за несоблюдение условий и порядка предоставления субсидий в соответствии с законодательством Российской Федерации.</w:t>
      </w: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spacing w:before="0" w:after="0" w:line="240" w:lineRule="auto"/>
        <w:ind w:left="0" w:firstLine="540"/>
        <w:jc w:val="both"/>
        <w:rPr>
          <w:rFonts w:ascii="Arial" w:hAnsi="Arial" w:eastAsia="Arial" w:cs="Arial"/>
          <w:b w:val="0"/>
          <w:bCs w:val="0"/>
          <w:i w:val="0"/>
          <w:iCs w:val="0"/>
          <w:strike w:val="0"/>
          <w:color w:val="auto"/>
          <w:sz w:val="16"/>
          <w:szCs w:val="16"/>
          <w:lang w:val="ru-RU" w:bidi="zh-CN"/>
        </w:rPr>
      </w:pPr>
    </w:p>
    <w:p>
      <w:pPr>
        <w:pStyle w:val="Style_23"/>
        <w:pBdr>
          <w:top w:val="single" w:color="000000" w:sz="6" w:space="0"/>
          <w:left w:val="none"/>
          <w:bottom w:val="none"/>
          <w:right w:val="none"/>
        </w:pBdr>
        <w:spacing w:before="100" w:after="100" w:line="240" w:lineRule="auto"/>
        <w:ind w:left="0" w:firstLine="0"/>
        <w:jc w:val="both"/>
        <w:rPr>
          <w:rFonts w:ascii="Arial" w:hAnsi="Arial" w:eastAsia="Arial" w:cs="Arial"/>
          <w:b w:val="0"/>
          <w:bCs w:val="0"/>
          <w:i w:val="0"/>
          <w:iCs w:val="0"/>
          <w:strike w:val="0"/>
          <w:color w:val="auto"/>
          <w:sz w:val="0"/>
          <w:szCs w:val="0"/>
          <w:lang w:val="ru-RU" w:bidi="zh-CN"/>
        </w:rPr>
      </w:pPr>
    </w:p>
    <w:sectPr>
      <w:footnotePr>
        <w:numFmt w:val="upperLetter"/>
      </w:footnotePr>
      <w:endnotePr>
        <w:numFmt w:val="upperLetter"/>
      </w:endnotePr>
      <w:type w:val="continuous"/>
      <w:pgSz w:w="11906" w:h="16838"/>
      <w:pgMar w:top="1440" w:right="566" w:bottom="1440" w:left="1133" w:header="720" w:footer="72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rPr>
          <w:rFonts w:ascii="Liberation Serif" w:hAnsi="Liberation Serif" w:eastAsia="Liberation Serif" w:cs="Liberation Serif"/>
        </w:rPr>
      </w:pPr>
      <w:r>
        <w:rPr>
          <w:rFonts w:ascii="Liberation Serif" w:hAnsi="Liberation Serif" w:eastAsia="Liberation Serif" w:cs="Liberation Serif"/>
        </w:rPr>
        <w:separator/>
      </w:r>
    </w:p>
  </w:endnote>
  <w:endnote w:type="continuationSeparator" w:id="1">
    <w:p>
      <w:pPr>
        <w:jc w:val="left"/>
        <w:rPr>
          <w:rFonts w:ascii="Liberation Serif" w:hAnsi="Liberation Serif" w:eastAsia="Liberation Serif" w:cs="Liberation Serif"/>
        </w:rPr>
      </w:pPr>
      <w:r>
        <w:rPr>
          <w:rFonts w:ascii="Liberation Serif" w:hAnsi="Liberation Serif" w:eastAsia="Liberation Serif" w:cs="Liberation Serif"/>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ourier New">
    <w:panose1 w:val="02070309020205020404"/>
  </w:font>
  <w:font w:name="Arial">
    <w:panose1 w:val="020B0604020202020204"/>
  </w:font>
  <w:font w:name="Liberation Sans">
    <w:panose1 w:val="020B0604020202020204"/>
  </w:font>
  <w:font w:name="Tahoma">
    <w:panose1 w:val="020B0604030504040204"/>
  </w:font>
  <w:font w:name="Liberation Serif">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spacing w:before="0" w:after="0" w:line="240" w:lineRule="auto"/>
        <w:jc w:val="left"/>
        <w:rPr>
          <w:rFonts w:ascii="Arial" w:hAnsi="Arial" w:eastAsia="Arial" w:cs="Arial"/>
          <w:sz w:val="24"/>
        </w:rPr>
      </w:pPr>
      <w:r>
        <w:rPr>
          <w:rFonts w:ascii="Arial" w:hAnsi="Arial" w:eastAsia="Arial" w:cs="Arial"/>
          <w:sz w:val="24"/>
        </w:rPr>
        <w:separator/>
      </w:r>
    </w:p>
  </w:footnote>
  <w:footnote w:type="continuationSeparator" w:id="1">
    <w:p>
      <w:pPr>
        <w:jc w:val="left"/>
        <w:rPr>
          <w:rFonts w:ascii="Liberation Serif" w:hAnsi="Liberation Serif" w:eastAsia="Liberation Serif" w:cs="Liberation Serif"/>
        </w:rPr>
      </w:pPr>
      <w:r>
        <w:rPr>
          <w:rFonts w:ascii="Liberation Serif" w:hAnsi="Liberation Serif" w:eastAsia="Liberation Serif" w:cs="Liberation Seri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val="true"/>
  <w:characterSpacingControl w:val="doNotCompress"/>
  <w:footnotePr>
    <w:pos w:val="pageBottom"/>
    <w:numStart w:val="1"/>
    <w:numRestart w:val="continuous"/>
    <w:footnote w:id="0"/>
    <w:footnote w:id="1"/>
  </w:footnotePr>
  <w:endnotePr>
    <w:pos w:val="docEnd"/>
    <w:numStart w:val="1"/>
    <w:numRestart w:val="eachSect"/>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eastAsia="Liberation Serif" w:cs="Liberation Serif"/>
        <w:sz w:val="24"/>
      </w:rPr>
    </w:rPrDefault>
    <w:pPrDefault>
      <w:pPr>
        <w:spacing w:before="0" w:after="0" w:line="240" w:lineRule="auto"/>
        <w:jc w:val="left"/>
        <w:rPr>
          <w:rFonts w:ascii="Liberation Serif" w:hAnsi="Liberation Serif" w:eastAsia="Liberation Serif" w:cs="Liberation Serif"/>
        </w:rP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Normal"/>
    <w:pPr>
      <w:spacing w:before="0" w:after="0" w:line="240" w:lineRule="auto"/>
      <w:jc w:val="left"/>
      <w:rPr>
        <w:rFonts w:ascii="Liberation Serif" w:hAnsi="Liberation Serif" w:eastAsia="Liberation Serif" w:cs="Liberation Serif"/>
      </w:rPr>
    </w:pPr>
    <w:rPr>
      <w:rFonts w:ascii="Liberation Serif" w:hAnsi="Liberation Serif" w:eastAsia="Liberation Serif" w:cs="Liberation Serif"/>
      <w:color w:val="auto"/>
      <w:sz w:val="24"/>
      <w:szCs w:val="24"/>
      <w:lang w:val="ru-RU" w:bidi="zh-CN"/>
    </w:rPr>
  </w:style>
  <w:style w:type="character" w:styleId="Style_15">
    <w:name w:val="ListLabel 1"/>
    <w:rPr>
      <w:rFonts w:ascii="Tahoma" w:hAnsi="Tahoma" w:eastAsia="Tahoma" w:cs="Tahoma"/>
      <w:color w:val="0000ff"/>
      <w:sz w:val="20"/>
    </w:rPr>
  </w:style>
  <w:style w:type="character" w:styleId="Style_16">
    <w:name w:val="Hyperlink"/>
    <w:rPr>
      <w:rFonts w:ascii="Liberation Serif" w:hAnsi="Liberation Serif" w:eastAsia="Liberation Serif" w:cs="Liberation Serif"/>
      <w:color w:val="000080"/>
      <w:sz w:val="24"/>
      <w:u w:val="single"/>
    </w:rPr>
  </w:style>
  <w:style w:type="character" w:styleId="Style_17">
    <w:name w:val="ListLabel 2"/>
    <w:rPr>
      <w:rFonts w:ascii="Liberation Serif" w:hAnsi="Liberation Serif" w:eastAsia="Liberation Serif" w:cs="Liberation Serif"/>
      <w:color w:val="0000ff"/>
      <w:sz w:val="24"/>
    </w:rPr>
  </w:style>
  <w:style w:type="paragraph" w:styleId="Style_18">
    <w:name w:val="Заголовок"/>
    <w:basedOn w:val="Style_0"/>
    <w:pPr>
      <w:keepNext/>
      <w:spacing w:before="240" w:after="120" w:line="240" w:lineRule="auto"/>
      <w:jc w:val="left"/>
      <w:rPr>
        <w:rFonts w:ascii="Liberation Serif" w:hAnsi="Liberation Serif" w:eastAsia="Liberation Serif" w:cs="Liberation Serif"/>
      </w:rPr>
    </w:pPr>
    <w:rPr>
      <w:rFonts w:ascii="Liberation Sans" w:hAnsi="Liberation Sans" w:eastAsia="Liberation Sans" w:cs="Liberation Sans"/>
      <w:sz w:val="28"/>
    </w:rPr>
  </w:style>
  <w:style w:type="paragraph" w:styleId="Style_19">
    <w:name w:val="Body Text"/>
    <w:basedOn w:val="Style_0"/>
    <w:pPr>
      <w:spacing w:before="0" w:after="140" w:line="276" w:lineRule="auto"/>
      <w:jc w:val="left"/>
      <w:rPr>
        <w:rFonts w:ascii="Liberation Serif" w:hAnsi="Liberation Serif" w:eastAsia="Liberation Serif" w:cs="Liberation Serif"/>
      </w:rPr>
    </w:pPr>
    <w:rPr>
      <w:rFonts w:ascii="Liberation Serif" w:hAnsi="Liberation Serif" w:eastAsia="Liberation Serif" w:cs="Liberation Serif"/>
      <w:sz w:val="24"/>
    </w:rPr>
  </w:style>
  <w:style w:type="paragraph" w:styleId="Style_20">
    <w:name w:val="List"/>
    <w:basedOn w:val="Style_19"/>
    <w:pPr>
      <w:spacing w:before="0" w:after="140" w:line="276" w:lineRule="auto"/>
      <w:jc w:val="left"/>
      <w:rPr>
        <w:rFonts w:ascii="Liberation Serif" w:hAnsi="Liberation Serif" w:eastAsia="Liberation Serif" w:cs="Liberation Serif"/>
      </w:rPr>
    </w:pPr>
    <w:rPr>
      <w:rFonts w:ascii="Liberation Serif" w:hAnsi="Liberation Serif" w:eastAsia="Liberation Serif" w:cs="Liberation Serif"/>
      <w:sz w:val="24"/>
    </w:rPr>
  </w:style>
  <w:style w:type="paragraph" w:styleId="Style_21">
    <w:name w:val="Caption"/>
    <w:basedOn w:val="Style_0"/>
    <w:pPr>
      <w:spacing w:before="120" w:after="120" w:line="240" w:lineRule="auto"/>
      <w:jc w:val="left"/>
      <w:rPr>
        <w:rFonts w:ascii="Liberation Serif" w:hAnsi="Liberation Serif" w:eastAsia="Liberation Serif" w:cs="Liberation Serif"/>
      </w:rPr>
    </w:pPr>
    <w:rPr>
      <w:rFonts w:ascii="Liberation Serif" w:hAnsi="Liberation Serif" w:eastAsia="Liberation Serif" w:cs="Liberation Serif"/>
      <w:i/>
      <w:sz w:val="24"/>
    </w:rPr>
  </w:style>
  <w:style w:type="paragraph" w:styleId="Style_22">
    <w:name w:val="Указатель"/>
    <w:basedOn w:val="Style_0"/>
    <w:pPr>
      <w:spacing w:before="0" w:after="0" w:line="240" w:lineRule="auto"/>
      <w:jc w:val="left"/>
      <w:rPr>
        <w:rFonts w:ascii="Liberation Serif" w:hAnsi="Liberation Serif" w:eastAsia="Liberation Serif" w:cs="Liberation Serif"/>
      </w:rPr>
    </w:pPr>
    <w:rPr>
      <w:rFonts w:ascii="Liberation Serif" w:hAnsi="Liberation Serif" w:eastAsia="Liberation Serif" w:cs="Liberation Serif"/>
      <w:sz w:val="24"/>
    </w:rPr>
  </w:style>
  <w:style w:type="paragraph" w:styleId="Style_23">
    <w:name w:val="ConsPlusNormal"/>
    <w:pPr>
      <w:spacing w:before="0" w:after="0" w:line="240" w:lineRule="auto"/>
      <w:jc w:val="left"/>
      <w:rPr>
        <w:rFonts w:ascii="Liberation Serif" w:hAnsi="Liberation Serif" w:eastAsia="Liberation Serif" w:cs="Liberation Serif"/>
      </w:rPr>
    </w:pPr>
    <w:rPr>
      <w:rFonts w:ascii="Arial" w:hAnsi="Arial" w:eastAsia="Arial" w:cs="Arial"/>
      <w:b w:val="0"/>
      <w:bCs w:val="0"/>
      <w:i w:val="0"/>
      <w:iCs w:val="0"/>
      <w:strike w:val="0"/>
      <w:color w:val="auto"/>
      <w:sz w:val="16"/>
      <w:szCs w:val="16"/>
      <w:lang w:val="ru-RU" w:bidi="zh-CN"/>
    </w:rPr>
  </w:style>
  <w:style w:type="paragraph" w:styleId="Style_24">
    <w:name w:val="ConsPlusNonformat"/>
    <w:pPr>
      <w:spacing w:before="0" w:after="0" w:line="240" w:lineRule="auto"/>
      <w:jc w:val="left"/>
      <w:rPr>
        <w:rFonts w:ascii="Liberation Serif" w:hAnsi="Liberation Serif" w:eastAsia="Liberation Serif" w:cs="Liberation Serif"/>
      </w:rPr>
    </w:pPr>
    <w:rPr>
      <w:rFonts w:ascii="Courier New" w:hAnsi="Courier New" w:eastAsia="Courier New" w:cs="Courier New"/>
      <w:b w:val="0"/>
      <w:bCs w:val="0"/>
      <w:i w:val="0"/>
      <w:iCs w:val="0"/>
      <w:strike w:val="0"/>
      <w:color w:val="auto"/>
      <w:sz w:val="20"/>
      <w:szCs w:val="20"/>
      <w:lang w:val="ru-RU" w:bidi="zh-CN"/>
    </w:rPr>
  </w:style>
  <w:style w:type="paragraph" w:styleId="Style_25">
    <w:name w:val="ConsPlusTitle"/>
    <w:pPr>
      <w:spacing w:before="0" w:after="0" w:line="240" w:lineRule="auto"/>
      <w:jc w:val="left"/>
      <w:rPr>
        <w:rFonts w:ascii="Liberation Serif" w:hAnsi="Liberation Serif" w:eastAsia="Liberation Serif" w:cs="Liberation Serif"/>
      </w:rPr>
    </w:pPr>
    <w:rPr>
      <w:rFonts w:ascii="Arial" w:hAnsi="Arial" w:eastAsia="Arial" w:cs="Arial"/>
      <w:b/>
      <w:bCs/>
      <w:i w:val="0"/>
      <w:iCs w:val="0"/>
      <w:strike w:val="0"/>
      <w:color w:val="auto"/>
      <w:sz w:val="16"/>
      <w:szCs w:val="16"/>
      <w:lang w:val="ru-RU" w:bidi="zh-CN"/>
    </w:rPr>
  </w:style>
  <w:style w:type="paragraph" w:styleId="Style_26">
    <w:name w:val="ConsPlusCell"/>
    <w:pPr>
      <w:spacing w:before="0" w:after="0" w:line="240" w:lineRule="auto"/>
      <w:jc w:val="left"/>
      <w:rPr>
        <w:rFonts w:ascii="Liberation Serif" w:hAnsi="Liberation Serif" w:eastAsia="Liberation Serif" w:cs="Liberation Serif"/>
      </w:rPr>
    </w:pPr>
    <w:rPr>
      <w:rFonts w:ascii="Courier New" w:hAnsi="Courier New" w:eastAsia="Courier New" w:cs="Courier New"/>
      <w:b w:val="0"/>
      <w:bCs w:val="0"/>
      <w:i w:val="0"/>
      <w:iCs w:val="0"/>
      <w:strike w:val="0"/>
      <w:color w:val="auto"/>
      <w:sz w:val="20"/>
      <w:szCs w:val="20"/>
      <w:lang w:val="ru-RU" w:bidi="zh-CN"/>
    </w:rPr>
  </w:style>
  <w:style w:type="paragraph" w:styleId="Style_27">
    <w:name w:val="ConsPlusDocList"/>
    <w:pPr>
      <w:spacing w:before="0" w:after="0" w:line="240" w:lineRule="auto"/>
      <w:jc w:val="left"/>
      <w:rPr>
        <w:rFonts w:ascii="Liberation Serif" w:hAnsi="Liberation Serif" w:eastAsia="Liberation Serif" w:cs="Liberation Serif"/>
      </w:rPr>
    </w:pPr>
    <w:rPr>
      <w:rFonts w:ascii="Courier New" w:hAnsi="Courier New" w:eastAsia="Courier New" w:cs="Courier New"/>
      <w:b w:val="0"/>
      <w:bCs w:val="0"/>
      <w:i w:val="0"/>
      <w:iCs w:val="0"/>
      <w:strike w:val="0"/>
      <w:color w:val="auto"/>
      <w:sz w:val="16"/>
      <w:szCs w:val="16"/>
      <w:lang w:val="ru-RU" w:bidi="zh-CN"/>
    </w:rPr>
  </w:style>
  <w:style w:type="paragraph" w:styleId="Style_28">
    <w:name w:val="ConsPlusTitlePage"/>
    <w:pPr>
      <w:spacing w:before="0" w:after="0" w:line="240" w:lineRule="auto"/>
      <w:jc w:val="left"/>
      <w:rPr>
        <w:rFonts w:ascii="Liberation Serif" w:hAnsi="Liberation Serif" w:eastAsia="Liberation Serif" w:cs="Liberation Serif"/>
      </w:rPr>
    </w:pPr>
    <w:rPr>
      <w:rFonts w:ascii="Tahoma" w:hAnsi="Tahoma" w:eastAsia="Tahoma" w:cs="Tahoma"/>
      <w:b w:val="0"/>
      <w:bCs w:val="0"/>
      <w:i w:val="0"/>
      <w:iCs w:val="0"/>
      <w:strike w:val="0"/>
      <w:color w:val="auto"/>
      <w:sz w:val="16"/>
      <w:szCs w:val="16"/>
      <w:lang w:val="ru-RU" w:bidi="zh-CN"/>
    </w:rPr>
  </w:style>
  <w:style w:type="paragraph" w:styleId="Style_29">
    <w:name w:val="ConsPlusJurTerm"/>
    <w:pPr>
      <w:spacing w:before="0" w:after="0" w:line="240" w:lineRule="auto"/>
      <w:jc w:val="left"/>
      <w:rPr>
        <w:rFonts w:ascii="Liberation Serif" w:hAnsi="Liberation Serif" w:eastAsia="Liberation Serif" w:cs="Liberation Serif"/>
      </w:rPr>
    </w:pPr>
    <w:rPr>
      <w:rFonts w:ascii="Arial" w:hAnsi="Arial" w:eastAsia="Arial" w:cs="Arial"/>
      <w:b w:val="0"/>
      <w:bCs w:val="0"/>
      <w:i w:val="0"/>
      <w:iCs w:val="0"/>
      <w:strike w:val="0"/>
      <w:color w:val="auto"/>
      <w:sz w:val="26"/>
      <w:szCs w:val="26"/>
      <w:lang w:val="ru-RU" w:bidi="zh-CN"/>
    </w:rPr>
  </w:style>
  <w:style w:type="paragraph" w:styleId="Style_30">
    <w:name w:val="ConsPlusTextList"/>
    <w:pPr>
      <w:spacing w:before="0" w:after="0" w:line="240" w:lineRule="auto"/>
      <w:jc w:val="left"/>
      <w:rPr>
        <w:rFonts w:ascii="Liberation Serif" w:hAnsi="Liberation Serif" w:eastAsia="Liberation Serif" w:cs="Liberation Serif"/>
      </w:rPr>
    </w:pPr>
    <w:rPr>
      <w:rFonts w:ascii="Arial" w:hAnsi="Arial" w:eastAsia="Arial" w:cs="Arial"/>
      <w:b w:val="0"/>
      <w:bCs w:val="0"/>
      <w:i w:val="0"/>
      <w:iCs w:val="0"/>
      <w:strike w:val="0"/>
      <w:color w:val="auto"/>
      <w:sz w:val="20"/>
      <w:szCs w:val="20"/>
      <w:lang w:val="ru-RU" w:bidi="zh-CN"/>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RLAW049&amp;n=175480&amp;dst=100007" TargetMode="External"/><Relationship Id="rId10" Type="http://schemas.openxmlformats.org/officeDocument/2006/relationships/hyperlink" Target="#Par42" TargetMode="External"/><Relationship Id="rId11" Type="http://schemas.openxmlformats.org/officeDocument/2006/relationships/hyperlink" Target="https://login.consultant.ru/link/?req=doc&amp;base=LAW&amp;n=466790&amp;dst=7460" TargetMode="External"/><Relationship Id="rId12" Type="http://schemas.openxmlformats.org/officeDocument/2006/relationships/hyperlink" Target="https://login.consultant.ru/link/?req=doc&amp;base=LAW&amp;n=490805&amp;dst=100029" TargetMode="External"/><Relationship Id="rId13" Type="http://schemas.openxmlformats.org/officeDocument/2006/relationships/hyperlink" Target="#Par42" TargetMode="External"/><Relationship Id="rId14" Type="http://schemas.openxmlformats.org/officeDocument/2006/relationships/hyperlink" Target="https://login.consultant.ru/link/?req=doc&amp;base=LAW&amp;n=448881" TargetMode="External"/><Relationship Id="rId15" Type="http://schemas.openxmlformats.org/officeDocument/2006/relationships/hyperlink" Target="https://login.consultant.ru/link/?req=doc&amp;base=LAW&amp;n=121087&amp;dst=100142" TargetMode="External"/><Relationship Id="rId16" Type="http://schemas.openxmlformats.org/officeDocument/2006/relationships/hyperlink" Target="#Par1106" TargetMode="External"/><Relationship Id="rId17" Type="http://schemas.openxmlformats.org/officeDocument/2006/relationships/hyperlink" Target="https://login.consultant.ru/link/?req=doc&amp;base=LAW&amp;n=494968" TargetMode="External"/><Relationship Id="rId18" Type="http://schemas.openxmlformats.org/officeDocument/2006/relationships/hyperlink" Target="https://login.consultant.ru/link/?req=doc&amp;base=LAW&amp;n=483130&amp;dst=5769" TargetMode="External"/><Relationship Id="rId19" Type="http://schemas.openxmlformats.org/officeDocument/2006/relationships/hyperlink" Target="#Par1114" TargetMode="External"/><Relationship Id="rId20" Type="http://schemas.openxmlformats.org/officeDocument/2006/relationships/hyperlink" Target="#Par1114" TargetMode="External"/><Relationship Id="rId21" Type="http://schemas.openxmlformats.org/officeDocument/2006/relationships/hyperlink" Target="#Par1114" TargetMode="External"/><Relationship Id="rId22" Type="http://schemas.openxmlformats.org/officeDocument/2006/relationships/hyperlink" Target="#Par1123" TargetMode="External"/><Relationship Id="rId23" Type="http://schemas.openxmlformats.org/officeDocument/2006/relationships/hyperlink" Target="#Par1129" TargetMode="External"/><Relationship Id="rId24" Type="http://schemas.openxmlformats.org/officeDocument/2006/relationships/hyperlink" Target="https://login.consultant.ru/link/?req=doc&amp;base=RLAW049&amp;n=172055&amp;dst=100011" TargetMode="External"/><Relationship Id="rId25" Type="http://schemas.openxmlformats.org/officeDocument/2006/relationships/hyperlink" Target="https://login.consultant.ru/link/?req=doc&amp;base=RLAW049&amp;n=172055" TargetMode="External"/><Relationship Id="rId26" Type="http://schemas.openxmlformats.org/officeDocument/2006/relationships/hyperlink" Target="https://login.consultant.ru/link/?req=doc&amp;base=LAW&amp;n=466790&amp;dst=3704" TargetMode="External"/><Relationship Id="rId27" Type="http://schemas.openxmlformats.org/officeDocument/2006/relationships/hyperlink" Target="https://login.consultant.ru/link/?req=doc&amp;base=LAW&amp;n=466790&amp;dst=3722" TargetMode="External"/><Relationship Id="rId28" Type="http://schemas.openxmlformats.org/officeDocument/2006/relationships/hyperlink" Target="https://login.consultant.ru/link/?req=doc&amp;base=RLAW049&amp;n=172055" TargetMode="External"/><Relationship Id="rId29" Type="http://schemas.openxmlformats.org/officeDocument/2006/relationships/hyperlink" Target="#Par1114" TargetMode="External"/><Relationship Id="rId30" Type="http://schemas.openxmlformats.org/officeDocument/2006/relationships/hyperlink" Target="https://login.consultant.ru/link/?req=doc&amp;base=LAW&amp;n=482692&amp;dst=217" TargetMode="External"/><Relationship Id="rId31" Type="http://schemas.openxmlformats.org/officeDocument/2006/relationships/hyperlink" Target="#Par1114" TargetMode="External"/><Relationship Id="rId32" Type="http://schemas.openxmlformats.org/officeDocument/2006/relationships/hyperlink" Target="https://mtsr.nso.ru/page/1235" TargetMode="External"/><Relationship Id="rId33" Type="http://schemas.openxmlformats.org/officeDocument/2006/relationships/hyperlink" Target="#Par1177" TargetMode="External"/><Relationship Id="rId34" Type="http://schemas.openxmlformats.org/officeDocument/2006/relationships/hyperlink" Target="#Par1114" TargetMode="External"/><Relationship Id="rId35" Type="http://schemas.openxmlformats.org/officeDocument/2006/relationships/hyperlink" Target="#Par1126" TargetMode="External"/><Relationship Id="rId36" Type="http://schemas.openxmlformats.org/officeDocument/2006/relationships/hyperlink" Target="#Par1129" TargetMode="External"/><Relationship Id="rId37" Type="http://schemas.openxmlformats.org/officeDocument/2006/relationships/hyperlink" Target="#Par1253" TargetMode="External"/><Relationship Id="rId38" Type="http://schemas.openxmlformats.org/officeDocument/2006/relationships/hyperlink" Target="#Par1339" TargetMode="External"/><Relationship Id="rId39" Type="http://schemas.openxmlformats.org/officeDocument/2006/relationships/hyperlink" Target="#Par1232" TargetMode="External"/><Relationship Id="rId40" Type="http://schemas.openxmlformats.org/officeDocument/2006/relationships/hyperlink" Target="#Par1132" TargetMode="External"/><Relationship Id="rId41" Type="http://schemas.openxmlformats.org/officeDocument/2006/relationships/hyperlink" Target="#Par1204" TargetMode="External"/><Relationship Id="rId42" Type="http://schemas.openxmlformats.org/officeDocument/2006/relationships/hyperlink" Target="#Par1253" TargetMode="External"/><Relationship Id="rId43" Type="http://schemas.openxmlformats.org/officeDocument/2006/relationships/hyperlink" Target="#Par1114" TargetMode="External"/><Relationship Id="rId44" Type="http://schemas.openxmlformats.org/officeDocument/2006/relationships/hyperlink" Target="#Par1237" TargetMode="External"/><Relationship Id="rId45" Type="http://schemas.openxmlformats.org/officeDocument/2006/relationships/hyperlink" Target="#Par1233" TargetMode="External"/><Relationship Id="rId46" Type="http://schemas.openxmlformats.org/officeDocument/2006/relationships/hyperlink" Target="#Par1322" TargetMode="External"/><Relationship Id="rId47" Type="http://schemas.openxmlformats.org/officeDocument/2006/relationships/hyperlink" Target="https://login.consultant.ru/link/?req=doc&amp;base=LAW&amp;n=483022&amp;dst=254" TargetMode="External"/><Relationship Id="rId48" Type="http://schemas.openxmlformats.org/officeDocument/2006/relationships/hyperlink" Target="https://login.consultant.ru/link/?req=doc&amp;base=LAW&amp;n=483022&amp;dst=261" TargetMode="External"/><Relationship Id="rId49" Type="http://schemas.openxmlformats.org/officeDocument/2006/relationships/hyperlink" Target="#Par1224" TargetMode="External"/><Relationship Id="rId50" Type="http://schemas.openxmlformats.org/officeDocument/2006/relationships/hyperlink" Target="#Par1114" TargetMode="External"/><Relationship Id="rId51" Type="http://schemas.openxmlformats.org/officeDocument/2006/relationships/hyperlink" Target="#Par1351" TargetMode="External"/><Relationship Id="rId52" Type="http://schemas.openxmlformats.org/officeDocument/2006/relationships/hyperlink" Target="#Par1352" TargetMode="External"/><Relationship Id="rId53" Type="http://schemas.openxmlformats.org/officeDocument/2006/relationships/hyperlink" Target="https://login.consultant.ru/link/?req=doc&amp;base=RLAW049&amp;n=172055" TargetMode="External"/><Relationship Id="rId54" Type="http://schemas.openxmlformats.org/officeDocument/2006/relationships/hyperlink" Target="#Par1351" TargetMode="External"/><Relationship Id="rId55" Type="http://schemas.openxmlformats.org/officeDocument/2006/relationships/hyperlink" Target="#Par1353" TargetMode="External"/><Relationship Id="rId56" Type="http://schemas.openxmlformats.org/officeDocument/2006/relationships/hyperlink" Target="https://login.consultant.ru/link/?req=doc&amp;base=LAW&amp;n=480322&amp;dst=100011" TargetMode="External"/><Relationship Id="rId57" Type="http://schemas.openxmlformats.org/officeDocument/2006/relationships/hyperlink" Target="https://login.consultant.ru/link/?req=doc&amp;base=LAW&amp;n=466790&amp;dst=3704" TargetMode="External"/><Relationship Id="rId58" Type="http://schemas.openxmlformats.org/officeDocument/2006/relationships/hyperlink" Target="https://login.consultant.ru/link/?req=doc&amp;base=LAW&amp;n=466790&amp;dst=3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17.11.2021 N 462-?(???. ?? 28.01.2025)&amp;quot;?? ??????????? ??????????????? ????????? ????????????? ??????? &amp;quot;?????????? ????????? ? ????????????? ???????&amp;quot;</dc:title>
  <dc:creator/>
  <cp:lastModifiedBy/>
</cp:coreProperties>
</file>