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59" w:type="dxa"/>
        <w:tblLook w:val="04A0" w:firstRow="1" w:lastRow="0" w:firstColumn="1" w:lastColumn="0" w:noHBand="0" w:noVBand="1"/>
      </w:tblPr>
      <w:tblGrid>
        <w:gridCol w:w="8330"/>
        <w:gridCol w:w="7229"/>
      </w:tblGrid>
      <w:tr>
        <w:tc>
          <w:tcPr>
            <w:tcW w:w="83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ind w:left="18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</w:t>
            </w:r>
          </w:p>
          <w:p>
            <w:pPr>
              <w:spacing w:after="0" w:line="240" w:lineRule="auto"/>
              <w:ind w:left="18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остановлению комиссии по делам несовершеннолетних и защите их прав на территории Новосибирской области </w:t>
            </w:r>
          </w:p>
          <w:p>
            <w:pPr>
              <w:spacing w:after="0" w:line="240" w:lineRule="auto"/>
              <w:ind w:left="18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>
      <w:pPr>
        <w:pStyle w:val="a3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ПЛАН</w:t>
      </w:r>
      <w:r>
        <w:rPr>
          <w:b/>
          <w:bCs/>
          <w:szCs w:val="28"/>
        </w:rPr>
        <w:t xml:space="preserve"> </w:t>
      </w:r>
    </w:p>
    <w:p>
      <w:pPr>
        <w:pStyle w:val="a3"/>
        <w:contextualSpacing/>
        <w:jc w:val="center"/>
        <w:rPr>
          <w:spacing w:val="6"/>
        </w:rPr>
      </w:pPr>
      <w:r>
        <w:rPr>
          <w:bCs/>
          <w:szCs w:val="28"/>
        </w:rPr>
        <w:t xml:space="preserve">мероприятий </w:t>
      </w:r>
      <w:r>
        <w:rPr>
          <w:spacing w:val="6"/>
        </w:rPr>
        <w:t xml:space="preserve">по профилактике пр</w:t>
      </w:r>
      <w:r>
        <w:rPr>
          <w:spacing w:val="6"/>
        </w:rPr>
        <w:t xml:space="preserve">авонарушений, преступлений и иных противоправных деяний несовершеннолетних</w:t>
      </w:r>
      <w:r>
        <w:rPr>
          <w:spacing w:val="6"/>
        </w:rPr>
        <w:t xml:space="preserve"> </w:t>
      </w:r>
    </w:p>
    <w:p>
      <w:pPr>
        <w:pStyle w:val="a3"/>
        <w:ind w:firstLine="567"/>
        <w:contextualSpacing/>
        <w:jc w:val="center"/>
        <w:rPr>
          <w:bCs/>
          <w:szCs w:val="28"/>
        </w:rPr>
      </w:pPr>
      <w:r>
        <w:rPr>
          <w:spacing w:val="6"/>
          <w:szCs w:val="28"/>
        </w:rPr>
        <w:t xml:space="preserve">на территории </w:t>
      </w:r>
      <w:r>
        <w:rPr>
          <w:szCs w:val="28"/>
        </w:rPr>
        <w:t xml:space="preserve">Новосибирской области</w:t>
      </w:r>
      <w:r>
        <w:rPr>
          <w:bCs/>
          <w:szCs w:val="28"/>
        </w:rPr>
        <w:t xml:space="preserve"> на </w:t>
      </w:r>
      <w:r>
        <w:rPr>
          <w:bCs/>
          <w:szCs w:val="28"/>
        </w:rPr>
        <w:t xml:space="preserve">202</w:t>
      </w:r>
      <w:r>
        <w:rPr>
          <w:bCs/>
          <w:szCs w:val="28"/>
        </w:rPr>
        <w:t xml:space="preserve">3</w:t>
      </w:r>
      <w:r>
        <w:rPr>
          <w:bCs/>
          <w:szCs w:val="28"/>
        </w:rPr>
        <w:t xml:space="preserve"> год</w:t>
      </w:r>
    </w:p>
    <w:p>
      <w:pPr>
        <w:pStyle w:val="a3"/>
        <w:ind w:firstLine="567"/>
        <w:contextualSpacing/>
        <w:jc w:val="center"/>
        <w:rPr>
          <w:bCs/>
          <w:szCs w:val="28"/>
        </w:rPr>
      </w:pPr>
    </w:p>
    <w:tbl>
      <w:tblPr>
        <w:tblW w:w="1573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3"/>
        <w:gridCol w:w="1559"/>
        <w:gridCol w:w="3686"/>
      </w:tblGrid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п/п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Основные мероприятия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Срок исполнения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Ответственные исполнители</w:t>
            </w:r>
          </w:p>
        </w:tc>
      </w:tr>
      <w:tr>
        <w:tc>
          <w:tcPr>
            <w:tcW w:w="15736" w:type="dxa"/>
            <w:gridSpan w:val="4"/>
            <w:shd w:val="clear" w:color="auto" w:fill="auto"/>
          </w:tcPr>
          <w:p>
            <w:pPr>
              <w:pStyle w:val="a5"/>
              <w:numPr>
                <w:numId w:val="7"/>
                <w:ilvl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Мероприятия, направленные на профилактику преступности, правонарушений и иных антиобщественных действий, совершенных несовершеннолетними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мероприятий, направленных на патриотическое воспитание, обеспечение досуговой занятости несовершеннолетних обучающихся, в том числе, путем вовлечения в деятельность Российско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движени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детей и молодежи «Движение первых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», а также в добровольческую деятельность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течение года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Минобр НСО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главы МР и ГО НСО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Проведение спортивно-массовых мероприятий для несовершеннолетних в рамках календарного плана официальных физкультурных и спортивных мероприятий НСО на 202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 в целях организации их досуговой занятости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По отдельному плану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МФКиС НСО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профильной смены для несовершеннолетних, находящихся в конфликте с законом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МТиСР НСО, ГУ МВД России по НСО, Минобр НСО, главы МР и ГО НСО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4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мероприятий, направленных на социальную реабилитацию и ресоциализацию несовершеннолетних, осужденных без изоляции от общества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ГУФСИН России по НСО, Минобр НСО, МФКиС НСО,  КДНиЗП МР и ГО НСО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Проведение членами областной комиссии по делам несовершеннолетних и защите их прав приемов по личным вопросам несовершеннолетних,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отбывающих наказание в ФКУ «Новосибирская воспитательная колония ГУФСИН России по Новосибирской области», а также содержащихся в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ФГБПОУ «Каргатское СУВУ»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Не менее 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раз в год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МТиСР НСО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6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7"/>
                <w:szCs w:val="27"/>
              </w:rPr>
            </w:pP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Оказание содействия в организации культурного и спортивного досуга осужденных, отбывающих наказание в ФКУ «Новосибирская воспитательная колония ГУФСИН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России по Новосибирской области», а также содержащихся в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ФГБПОУ «Каргатское СУВУ»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течение года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ГУФСИН России по НСО, МФКиС НСО, Минобр НСО,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ФКУ «Новосибирская воспитательная колония ГУФСИН России по Новосибирской области», Администрация Каргатского района Новосибирской области, ФКУ «Каргатское СУВУ»</w:t>
            </w:r>
          </w:p>
        </w:tc>
      </w:tr>
      <w:tr>
        <w:tc>
          <w:tcPr>
            <w:tcW w:w="15736" w:type="dxa"/>
            <w:gridSpan w:val="4"/>
            <w:shd w:val="clear" w:color="auto" w:fill="auto"/>
          </w:tcPr>
          <w:p>
            <w:pPr>
              <w:pStyle w:val="a5"/>
              <w:numPr>
                <w:numId w:val="7"/>
                <w:ilvl w:val="0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pacing w:val="6"/>
                <w:sz w:val="27"/>
                <w:szCs w:val="27"/>
              </w:rPr>
              <w:t xml:space="preserve">Мероприятия, направленные на повышение уровня межведомственного взаимодействия в вопросах профилактики безнадзорности, беспризорности, правонарушений, суицидов несовершеннолетних, защиты их прав на территории Новосибирской области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7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Проведение межведомственн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комплексн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операци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«Подросток - Занятость».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 1 мая до 1 июня, с 1 июня по 31 августа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ГУ МВД России по НСО,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УТ МВД России по СФО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ГУФСИН России по НСО, Минобр НСО, МТиСР НСО, КДНиЗП МР и ГО НСО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8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Проведение в образовательных организациях профилактического мероприятия «Единый день профилактики» 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течение года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ГУ МВД России по НСО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, Минобр НСО, МТиСР НСО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9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Проведение оперативно-профилактических мероприятий: «Условник-Подросток», «Безопасность», «Контакт»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течение года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ГУ МВД России по НСО,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УТ МВД России по СФО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ГУФСИН России по НСО, КДНиЗП МР и ГО НСО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10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Осуществление межведомственных выездов в муниципальные образования Новосибирской области с целью изучения фактического положения дел в сфере государственной политики по профилактике безнадзорности и правонарушений несовершеннолетних и защиты их прав на территории конкретного муниципального района (городского округа) Новосибирской области, организации взаимодействия органов и учреждений системы профилактики безнадзорности и правонарушений несовершеннолетних и защиты их прав, роли комиссии по делам несовершеннолетних и защите их прав муниципального района (городского округа) по координации взаимодействия органов государственной власти и органов местного самоуправления в деятельности по профилактике безнадзорности и правонарушений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Март -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Ноябрь 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МТиСР НСО, ГУ МВД России по НСО, ГУФСИН России по НСО,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Минобр НСО, МЗ НСО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11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Проведение совещаний с председателями и ответственными секретарями КДНиЗП муниципальных районов и городских округов Новосибирской области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ежеквартально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МТиСР НСО</w:t>
            </w:r>
          </w:p>
        </w:tc>
      </w:tr>
      <w:tr>
        <w:tc>
          <w:tcPr>
            <w:tcW w:w="568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12</w:t>
            </w:r>
          </w:p>
        </w:tc>
        <w:tc>
          <w:tcPr>
            <w:tcW w:w="992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Проведение областной конференции по вопросам профилактики безнадзорности и правонарушений несовершеннолетних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декабрь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МТиСР НСО, ГУ МВД России по НСО, ГУФСИН России по НСО,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Минобр НСО, МЗ НСО</w:t>
            </w:r>
          </w:p>
        </w:tc>
      </w:tr>
    </w:tbl>
    <w:p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>
      <w:pPr>
        <w:spacing w:after="0" w:line="240" w:lineRule="auto"/>
        <w:ind w:left="-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Примечание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 xml:space="preserve">в</w:t>
      </w:r>
      <w:r>
        <w:rPr>
          <w:rFonts w:ascii="Times New Roman" w:hAnsi="Times New Roman"/>
          <w:i/>
          <w:iCs/>
          <w:sz w:val="24"/>
          <w:szCs w:val="24"/>
        </w:rPr>
        <w:t xml:space="preserve"> зависимости от криминогенной ситуации на территории </w:t>
      </w:r>
      <w:r>
        <w:rPr>
          <w:rFonts w:ascii="Times New Roman" w:hAnsi="Times New Roman"/>
          <w:i/>
          <w:iCs/>
          <w:sz w:val="24"/>
          <w:szCs w:val="24"/>
        </w:rPr>
        <w:t xml:space="preserve">Новосибирской</w:t>
      </w:r>
      <w:r>
        <w:rPr>
          <w:rFonts w:ascii="Times New Roman" w:hAnsi="Times New Roman"/>
          <w:i/>
          <w:iCs/>
          <w:sz w:val="24"/>
          <w:szCs w:val="24"/>
        </w:rPr>
        <w:t xml:space="preserve"> области, выявления фактов нарушения прав несовершеннолетних в План могут вноситься изменения и дополнения.</w:t>
      </w:r>
    </w:p>
    <w:p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Принятые сокращени</w:t>
      </w:r>
      <w:r>
        <w:rPr>
          <w:rFonts w:ascii="Times New Roman" w:hAnsi="Times New Roman"/>
          <w:iCs/>
          <w:sz w:val="24"/>
          <w:szCs w:val="24"/>
        </w:rPr>
        <w:t xml:space="preserve">я</w:t>
      </w:r>
      <w:r>
        <w:rPr>
          <w:rFonts w:ascii="Times New Roman" w:hAnsi="Times New Roman"/>
          <w:iCs/>
          <w:sz w:val="24"/>
          <w:szCs w:val="24"/>
        </w:rPr>
        <w:t xml:space="preserve">:</w:t>
      </w:r>
    </w:p>
    <w:p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КДНиЗП </w:t>
      </w:r>
      <w:r>
        <w:rPr>
          <w:rFonts w:ascii="Times New Roman" w:hAnsi="Times New Roman"/>
          <w:spacing w:val="-1"/>
          <w:sz w:val="24"/>
          <w:szCs w:val="24"/>
        </w:rPr>
        <w:t xml:space="preserve">МР и ГО НСО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 xml:space="preserve">комиссии по делам несовершеннолетних и защите их прав</w:t>
      </w:r>
      <w:r>
        <w:rPr>
          <w:rFonts w:ascii="Times New Roman" w:hAnsi="Times New Roman"/>
          <w:spacing w:val="-1"/>
          <w:sz w:val="24"/>
          <w:szCs w:val="24"/>
        </w:rPr>
        <w:t xml:space="preserve"> муниципальных районов, городских округов;</w:t>
      </w:r>
    </w:p>
    <w:p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М</w:t>
      </w:r>
      <w:r>
        <w:rPr>
          <w:rFonts w:ascii="Times New Roman" w:hAnsi="Times New Roman"/>
          <w:spacing w:val="-1"/>
          <w:sz w:val="24"/>
          <w:szCs w:val="24"/>
        </w:rPr>
        <w:t xml:space="preserve">Ти</w:t>
      </w:r>
      <w:r>
        <w:rPr>
          <w:rFonts w:ascii="Times New Roman" w:hAnsi="Times New Roman"/>
          <w:spacing w:val="-1"/>
          <w:sz w:val="24"/>
          <w:szCs w:val="24"/>
        </w:rPr>
        <w:t xml:space="preserve">СР НСО – </w:t>
      </w:r>
      <w:r>
        <w:rPr>
          <w:rFonts w:ascii="Times New Roman" w:hAnsi="Times New Roman"/>
          <w:spacing w:val="-1"/>
          <w:sz w:val="24"/>
          <w:szCs w:val="24"/>
        </w:rPr>
        <w:t xml:space="preserve">министерство</w:t>
      </w:r>
      <w:r>
        <w:rPr>
          <w:rFonts w:ascii="Times New Roman" w:hAnsi="Times New Roman"/>
          <w:spacing w:val="-1"/>
          <w:sz w:val="24"/>
          <w:szCs w:val="24"/>
        </w:rPr>
        <w:t xml:space="preserve"> труда и</w:t>
      </w:r>
      <w:r>
        <w:rPr>
          <w:rFonts w:ascii="Times New Roman" w:hAnsi="Times New Roman"/>
          <w:spacing w:val="-1"/>
          <w:sz w:val="24"/>
          <w:szCs w:val="24"/>
        </w:rPr>
        <w:t xml:space="preserve"> социального развития Новосибирской области;</w:t>
      </w:r>
    </w:p>
    <w:p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МЗ НСО – </w:t>
      </w:r>
      <w:r>
        <w:rPr>
          <w:rFonts w:ascii="Times New Roman" w:hAnsi="Times New Roman"/>
          <w:spacing w:val="-1"/>
          <w:sz w:val="24"/>
          <w:szCs w:val="24"/>
        </w:rPr>
        <w:t xml:space="preserve">министерство здравоохранения Новосибирской области;</w:t>
      </w:r>
    </w:p>
    <w:p>
      <w:pPr>
        <w:spacing w:after="0" w:line="240" w:lineRule="auto"/>
        <w:ind w:left="-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Минобр НСО – министерство образования Новосибирской области;</w:t>
      </w:r>
    </w:p>
    <w:p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ГУ МВД России по Новосибирской области – </w:t>
      </w:r>
      <w:r>
        <w:rPr>
          <w:rFonts w:ascii="Times New Roman" w:hAnsi="Times New Roman"/>
          <w:spacing w:val="-1"/>
          <w:sz w:val="24"/>
          <w:szCs w:val="24"/>
        </w:rPr>
        <w:t xml:space="preserve">Главное управление министерства внутренних дел Российской Федерации по Новосибирской области;</w:t>
      </w:r>
    </w:p>
    <w:p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М</w:t>
      </w:r>
      <w:r>
        <w:rPr>
          <w:rFonts w:ascii="Times New Roman" w:hAnsi="Times New Roman"/>
          <w:spacing w:val="-1"/>
          <w:sz w:val="24"/>
          <w:szCs w:val="24"/>
        </w:rPr>
        <w:t xml:space="preserve">ФКиС НСО – </w:t>
      </w:r>
      <w:r>
        <w:rPr>
          <w:rFonts w:ascii="Times New Roman" w:hAnsi="Times New Roman"/>
          <w:spacing w:val="-1"/>
          <w:sz w:val="24"/>
          <w:szCs w:val="24"/>
        </w:rPr>
        <w:t xml:space="preserve">министерство</w:t>
      </w:r>
      <w:r>
        <w:rPr>
          <w:rFonts w:ascii="Times New Roman" w:hAnsi="Times New Roman"/>
          <w:spacing w:val="-1"/>
          <w:sz w:val="24"/>
          <w:szCs w:val="24"/>
        </w:rPr>
        <w:t xml:space="preserve"> физической культуры и спорта Новосибирской области;</w:t>
      </w:r>
    </w:p>
    <w:p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МК НСО – министерство культуры Новосибирской области;</w:t>
      </w:r>
    </w:p>
    <w:p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минюста РФ по НСО – Управление Министерства юстиции Российской Федерации по Новосибирской области;</w:t>
      </w:r>
    </w:p>
    <w:p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ГУФСИН России по НСО </w:t>
      </w:r>
      <w:r>
        <w:rPr>
          <w:rFonts w:ascii="Times New Roman" w:hAnsi="Times New Roman"/>
          <w:sz w:val="24"/>
          <w:szCs w:val="24"/>
        </w:rPr>
        <w:t xml:space="preserve">– Главное управление Федеральной службы </w:t>
      </w:r>
      <w:r>
        <w:rPr>
          <w:rFonts w:ascii="Times New Roman" w:hAnsi="Times New Roman"/>
          <w:sz w:val="24"/>
          <w:szCs w:val="24"/>
        </w:rPr>
        <w:t xml:space="preserve">исполнения наказаний России по Новосибирской области</w:t>
      </w:r>
      <w:r>
        <w:rPr>
          <w:rFonts w:ascii="Times New Roman" w:hAnsi="Times New Roman"/>
          <w:sz w:val="24"/>
          <w:szCs w:val="24"/>
        </w:rPr>
        <w:t xml:space="preserve">;</w:t>
      </w:r>
    </w:p>
    <w:p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ФГБПОУ</w:t>
      </w:r>
      <w:r>
        <w:rPr>
          <w:rFonts w:ascii="Times New Roman" w:hAnsi="Times New Roman"/>
          <w:sz w:val="24"/>
          <w:szCs w:val="24"/>
        </w:rPr>
        <w:t xml:space="preserve"> «Каргатское СУВУ» - </w:t>
      </w: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профессиональное образовательное учреждение «Каргатское специальное учебно-воспитательное учреждение закрытого типа»</w:t>
      </w:r>
      <w:r>
        <w:rPr>
          <w:rFonts w:ascii="Times New Roman" w:hAnsi="Times New Roman"/>
          <w:sz w:val="24"/>
          <w:szCs w:val="24"/>
        </w:rPr>
        <w:t xml:space="preserve">;</w:t>
      </w:r>
    </w:p>
    <w:p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 – образовательные организации.</w:t>
      </w:r>
    </w:p>
    <w:sectPr>
      <w:pgSz w:w="16838" w:h="11906" w:orient="landscape"/>
      <w:pgMar w:top="851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95FC4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517A1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47" w:hanging="360"/>
      </w:pPr>
    </w:lvl>
    <w:lvl w:ilvl="2" w:tentative="1" w:tplc="0419001B">
      <w:start w:val="1"/>
      <w:numFmt w:val="lowerRoman"/>
      <w:lvlText w:val="%3."/>
      <w:lvlJc w:val="right"/>
      <w:pPr>
        <w:ind w:left="2367" w:hanging="180"/>
      </w:pPr>
    </w:lvl>
    <w:lvl w:ilvl="3" w:tentative="1" w:tplc="0419000F">
      <w:start w:val="1"/>
      <w:numFmt w:val="decimal"/>
      <w:lvlText w:val="%4."/>
      <w:lvlJc w:val="left"/>
      <w:pPr>
        <w:ind w:left="3087" w:hanging="360"/>
      </w:pPr>
    </w:lvl>
    <w:lvl w:ilvl="4" w:tentative="1" w:tplc="04190019">
      <w:start w:val="1"/>
      <w:numFmt w:val="lowerLetter"/>
      <w:lvlText w:val="%5."/>
      <w:lvlJc w:val="left"/>
      <w:pPr>
        <w:ind w:left="3807" w:hanging="360"/>
      </w:pPr>
    </w:lvl>
    <w:lvl w:ilvl="5" w:tentative="1" w:tplc="0419001B">
      <w:start w:val="1"/>
      <w:numFmt w:val="lowerRoman"/>
      <w:lvlText w:val="%6."/>
      <w:lvlJc w:val="right"/>
      <w:pPr>
        <w:ind w:left="4527" w:hanging="180"/>
      </w:pPr>
    </w:lvl>
    <w:lvl w:ilvl="6" w:tentative="1" w:tplc="0419000F">
      <w:start w:val="1"/>
      <w:numFmt w:val="decimal"/>
      <w:lvlText w:val="%7."/>
      <w:lvlJc w:val="left"/>
      <w:pPr>
        <w:ind w:left="5247" w:hanging="360"/>
      </w:pPr>
    </w:lvl>
    <w:lvl w:ilvl="7" w:tentative="1" w:tplc="04190019">
      <w:start w:val="1"/>
      <w:numFmt w:val="lowerLetter"/>
      <w:lvlText w:val="%8."/>
      <w:lvlJc w:val="left"/>
      <w:pPr>
        <w:ind w:left="5967" w:hanging="360"/>
      </w:pPr>
    </w:lvl>
    <w:lvl w:ilvl="8" w:tentative="1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hAnsi="Times New Roman" w:eastAsia="Arial Unicode MS"/>
      <w:b/>
      <w:color w:val="494949"/>
      <w:spacing w:val="2"/>
      <w:sz w:val="28"/>
      <w:szCs w:val="2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 w:eastAsia="Times New Roman"/>
      <w:sz w:val="28"/>
      <w:szCs w:val="20"/>
    </w:rPr>
  </w:style>
  <w:style w:type="character" w:styleId="a4" w:customStyle="1">
    <w:name w:val="Основной текст Знак"/>
    <w:basedOn w:val="a0"/>
    <w:link w:val="a3"/>
    <w:rPr>
      <w:rFonts w:ascii="Times New Roman" w:hAnsi="Times New Roman" w:eastAsia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10" w:customStyle="1">
    <w:name w:val="Заголовок 1 Знак"/>
    <w:basedOn w:val="a0"/>
    <w:link w:val="1"/>
    <w:rPr>
      <w:rFonts w:ascii="Times New Roman" w:hAnsi="Times New Roman" w:eastAsia="Arial Unicode MS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character" w:styleId="20" w:customStyle="1">
    <w:name w:val="Основной текст 2 Знак"/>
    <w:basedOn w:val="a0"/>
    <w:link w:val="2"/>
    <w:uiPriority w:val="99"/>
    <w:semiHidden/>
    <w:rPr>
      <w:rFonts w:ascii="Calibri" w:hAnsi="Calibri" w:eastAsia="Calibri" w:cs="Times New Roman"/>
    </w:rPr>
  </w:style>
  <w:style w:type="paragraph" w:styleId="3">
    <w:name w:val="Body Text Indent 3"/>
    <w:basedOn w:val="a"/>
    <w:link w:val="30"/>
    <w:uiPriority w:val="99"/>
    <w:unhideWhenUsed/>
    <w:pPr>
      <w:spacing w:after="120"/>
      <w:ind w:left="283"/>
    </w:pPr>
    <w:rPr>
      <w:sz w:val="16"/>
      <w:szCs w:val="16"/>
    </w:rPr>
  </w:style>
  <w:style w:type="character" w:styleId="30" w:customStyle="1">
    <w:name w:val="Основной текст с отступом 3 Знак"/>
    <w:basedOn w:val="a0"/>
    <w:link w:val="3"/>
    <w:uiPriority w:val="99"/>
    <w:rPr>
      <w:rFonts w:ascii="Calibri" w:hAnsi="Calibri" w:eastAsia="Calibri" w:cs="Times New Roman"/>
      <w:sz w:val="16"/>
      <w:szCs w:val="16"/>
    </w:rPr>
  </w:style>
  <w:style w:type="paragraph" w:styleId="21" w:customStyle="1">
    <w:name w:val="Основной текст с отступом 21"/>
    <w:basedOn w:val="a"/>
    <w:pPr>
      <w:spacing w:after="0" w:line="288" w:lineRule="auto"/>
      <w:ind w:left="1701" w:hanging="1701"/>
    </w:pPr>
    <w:rPr>
      <w:rFonts w:ascii="Times New Roman" w:hAnsi="Times New Roman" w:eastAsia="Times New Roman"/>
      <w:sz w:val="24"/>
      <w:szCs w:val="20"/>
      <w:lang w:eastAsia="ar-SA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D4B68-2930-41A6-B87B-8D65A951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4723</Characters>
  <CharactersWithSpaces>5540</CharactersWithSpaces>
  <Company>dtsr</Company>
  <DocSecurity>0</DocSecurity>
  <HyperlinksChanged>false</HyperlinksChanged>
  <Lines>39</Lines>
  <LinksUpToDate>false</LinksUpToDate>
  <Pages>3</Pages>
  <Paragraphs>11</Paragraphs>
  <ScaleCrop>false</ScaleCrop>
  <SharedDoc>false</SharedDoc>
  <Template>Normal.dotm</Template>
  <TotalTime>410</TotalTime>
  <Words>828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plb</dc:creator>
  <cp:keywords/>
  <dc:description/>
  <cp:lastModifiedBy>Вивденко Зоя Олеговна</cp:lastModifiedBy>
  <cp:revision>15</cp:revision>
  <cp:lastPrinted>2014-02-03T04:14:00Z</cp:lastPrinted>
  <dcterms:created xsi:type="dcterms:W3CDTF">2020-02-11T03:13:00Z</dcterms:created>
  <dcterms:modified xsi:type="dcterms:W3CDTF">2023-07-24T01:09:00Z</dcterms:modified>
</cp:coreProperties>
</file>