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6"/>
        <w:gridCol w:w="1358"/>
        <w:gridCol w:w="6310"/>
        <w:gridCol w:w="540"/>
        <w:gridCol w:w="1467"/>
        <w:gridCol w:w="108"/>
      </w:tblGrid>
      <w:tr>
        <w:trPr>
          <w:trHeight w:val="2698"/>
        </w:trPr>
        <w:tblPrEx/>
        <w:tc>
          <w:tcPr>
            <w:tcW w:w="9781" w:type="dxa"/>
            <w:gridSpan w:val="5"/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08" w:type="dxa"/>
            <w:noWrap w:val="false"/>
            <w:textDirection w:val="lrTb"/>
          </w:tcPr>
          <w:p>
            <w:pPr>
              <w:pStyle w:val="817"/>
              <w:widowControl/>
              <w:spacing w:before="0" w:beforeAutospacing="0" w:after="200" w:afterAutospacing="0" w:line="276" w:lineRule="auto"/>
              <w:jc w:val="left"/>
            </w:pPr>
          </w:p>
        </w:tc>
      </w:tr>
      <w:tr>
        <w:trPr/>
        <w:tblPrEx/>
        <w:tc>
          <w:tcPr>
            <w:tcW w:w="106" w:type="dxa"/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358" w:type="dxa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310" w:type="dxa"/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40" w:type="dxa"/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75" w:type="dxa"/>
            <w:gridSpan w:val="2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47"/>
        </w:trPr>
        <w:tblPrEx/>
        <w:tc>
          <w:tcPr>
            <w:tcW w:w="9781" w:type="dxa"/>
            <w:gridSpan w:val="5"/>
            <w:noWrap w:val="false"/>
            <w:textDirection w:val="lrTb"/>
          </w:tcPr>
          <w:p>
            <w:pPr>
              <w:pStyle w:val="817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08" w:type="dxa"/>
            <w:noWrap w:val="false"/>
            <w:textDirection w:val="lrTb"/>
          </w:tcPr>
          <w:p>
            <w:pPr>
              <w:pStyle w:val="817"/>
              <w:widowControl/>
              <w:spacing w:before="0" w:beforeAutospacing="0" w:after="200" w:afterAutospacing="0" w:line="276" w:lineRule="auto"/>
              <w:jc w:val="left"/>
            </w:pPr>
          </w:p>
        </w:tc>
      </w:tr>
    </w:tbl>
    <w:p>
      <w:pPr>
        <w:pStyle w:val="817"/>
        <w:shd w:val="clear" w:color="auto" w:fill="ffffff"/>
        <w:spacing w:before="0" w:after="0" w:line="240" w:lineRule="auto"/>
        <w:ind w:right="-142"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817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от 18.12.2024 № 2701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7"/>
        <w:spacing w:before="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817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соответствии с Федеральным законом от 31.07.2020 № 248-ФЗ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«О государственном контроле (надзоре) и муниципальном контроле в Российской Федерации»,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лактики рисков причинения вреда (ущерба) охраняемым законом ценностям»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Положением о региональном государственном контроле (надзоре) в сфере социального обслуживания, утвержденным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постановлением Правительства Новосибирской области от 20.09.2021 № 363-п «Об утверждении Положения о региональном государственном контроле (надзоре) в сфере социального обслуживания»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7"/>
        <w:spacing w:before="0" w:after="0" w:line="240" w:lineRule="auto"/>
        <w:jc w:val="lef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17"/>
        <w:spacing w:before="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817"/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 от 18.12.2024 № 2701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2025 год»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програм</w:t>
      </w:r>
      <w:r>
        <w:rPr>
          <w:rFonts w:ascii="Times New Roman" w:hAnsi="Times New Roman"/>
          <w:sz w:val="28"/>
          <w:szCs w:val="28"/>
          <w:highlight w:val="white"/>
        </w:rPr>
        <w:t xml:space="preserve">ме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2025</w:t>
      </w:r>
      <w:r>
        <w:rPr>
          <w:rFonts w:ascii="Times New Roman" w:hAnsi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Пункт 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«Программа направлена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стимулирование добросовестного соблюдения обязательных требований контролируемыми лицами,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Раздел II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widowControl w:val="off"/>
        <w:tabs>
          <w:tab w:val="left" w:pos="567" w:leader="none"/>
        </w:tabs>
        <w:spacing w:after="0" w:line="240" w:lineRule="auto"/>
        <w:ind w:firstLine="709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val="en-US" w:bidi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val="en-US" w:bidi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bidi="ru-RU"/>
        </w:rPr>
        <w:t xml:space="preserve">. Анализ текущего состояния осуществления регионального контроля (надзора), описание текущего уровня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bidi="ru-RU"/>
        </w:rPr>
        <w:t xml:space="preserve">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before="0" w:after="0" w:line="24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uppressLineNumbers w:val="0"/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12.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Наиболее значимым риском нарушения обязательных требований при осуществлении деятельности 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является размещение в информационно-телекоммуникационной сети «Интернет» и средствах массовой информации двух и более отрицательных отзывов о ненадлежащем предоставлении социальных услуг контролируемым лицом.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контрольным органом проведены профилактические мероприятия, предусмотренные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/>
        <w:t xml:space="preserve">Планом – графиком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установленн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ым Программой профилактики рисков причинения вреда (ущерба) охраняемым законом ценностям при осуществлении контрольным органом регионального государственного контроля (надзора) в сфере социального обслуживания на 2024 год.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официальном сайте контрольного органа в специально созданном разделе «Деятельность/Контрольно-надзорная деятел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ьность» создан отдельный подраздел «Обязательные требования» (далее – подраздел), содержащий информацию о реализации профилактических мероприятий, на котором размещен перечень актов, содержащий обязательные требования, соблюдение которых оценивает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ся при проведении мероприятий по контролю при осуществлении регионального контроля (надзора) (далее – Перечень актов).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подразделе реализован механизм обратной связи, позволяющий направить обращения, связанные с содержанием, ведением и применением Перечня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актов.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Перечень актов, актуализированных и размещенных в формате, доступном для скачивания и пригодном для обработки в текстовых редакторах, со ссылками на тексты и активными гиперссылками.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Открытие гиперссылки позволяет получить доступ к полному тексту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оответствующего нормативного правового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акта для просмотра в форматах, доступных для скачивания и пригодных для обработки в текстовых редакторах. Все нормативные правовые акты, включенные в Перечень актов, поддерживаются в актуальном состоянии. При внесении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изменений нормативные правовые акты, включенные в Перечень актов, оперативно обновляются.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официальном сайте контрольного органа в разделе «Деятельность/Контрольно-надзорная деятельность/Положения о видах регионального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государственного контроля» размещено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Положение, утвержденное </w:t>
      </w:r>
      <w:hyperlink r:id="rId14" w:tooltip="http://mtsr.nso.ru/sites/mtsr.nso.ru/wodby_files/files/page_8306/postanovlenie.pdf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постановлением 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 363-п.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году внесены изменения в следующие нормативные правовые акты, касающиеся контрольной (надзорной) деятельности, при осуществлении регионального контроля (надзора):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постановлением Правительства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 31.05.2024 № 250-п «О внесении изменений в отдельные постановления Правительства Новосибирско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й области»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несены изменения в постановление № 363-п,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абзац третий и абзац пятый изложены в новой редакции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приказом министер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29.07.2024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1714-НПА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приказ министерства труда и социального развития Новосибирской области от 25.02.2022 № 156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внесены изменения в приказ министерства труда и социального раз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вития Новосибирской области от 25.02.2022 № 156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 утверждении форм проверочных листов, используемых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 осуществлении регионального государственного контроля (надзора) в сфере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социального обслуживания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формы проверочных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используемых при осуществлении регионального государственного контроля (надзора) в сфере социального обслуживания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изложены в новой редакции.</w:t>
      </w:r>
      <w:r>
        <w:rPr>
          <w:highlight w:val="white"/>
        </w:rPr>
      </w:r>
      <w:r>
        <w:rPr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14. 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Контрольным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подготовлен доклад, содержащий результаты обобщения правоприменительной практики контрольно-надзорной деятельности контрольного органа в сфере социального обслуживания (при осуществлении регионального государственного контроля (надзора)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сфере социального обслуживания по итога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 2023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года (далее – доклад), утвержденный приказом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14.03.2024 № 415,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котором отражены выявляемые контрольным органом в ходе осуществления регионально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 контроля (надзора) за соблюдением законодательства Российской Федерации, законов и иных нормативных правовых актов Новосибирской области типичные нарушения обязательных требований и рекомендации в отношении мер, которые должны приниматься контролируемым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лицами с целью недопущения таких нарушений, а также предложения по совершенствованию законодательства Российской Федерации, законов и иных нормативных правовых актов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Подготовка доклада о правоприменительной практике осуществлялась в соответствии со статьей 47 Федерального закона № 248-ФЗ, пунктом 22 Положения, утвержденного постановлением № 363-п.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Доклад размещен на официальном сайте контрольного органа в раздел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 «Деятельность/Контрольно-надзорная деятельность/Профилактика рисков причинения вреда».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План-график проведения публичных мероприятий контрольного органа по вопросам правоприменительной практики в рамках осуществления регионального контроля (на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дзора)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2024 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 (далее – План-график), утверж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ден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18.12.2023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инистром труда и социального развития Новосибирской области (далее – министр).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Планом-графиком контрольным органом проведены публичные мероприятия на тему: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- «О докладе, содержащем результаты обобщения правоприменительной практики»;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- «Об особенностях организации и осуществления регионального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«О проведении регионального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государственного контроля (надзора) в сфере социального обслуживания в организациях для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 «О практике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осуществления реги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онального государственного контроля (надзора) в сфере социального обслуживания».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Ожидаемые результаты от проведенных публичных мероприятий: повышение информированности контролируемых лиц о действующих обязательных требованиях, своевременное выполнение обязательных требований контролируемыми лицами, предотвращение нарушений.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16. 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Контрольный орган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 использовал в своей деятельности государственную информационную систему «Типовое облачное решение по ав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томатизации контрольно-надзорной деятельности» (далее – ГИС ТОР КНД).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 внедрением ГИС ТОР КНД появилась возможность использовать интерактивные сервисы, в том числе новые формы каналов «Обратной связи» с контролируемыми лицами (ситуативные и общие электро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нные формы «обратной связи», электронные сервисы «электронная приемная», «личный кабинет» и, соответственно, возможность автоматического дифференцирования мер профилактики в отношении контролируемых лиц (получение индивидуальных консультаций по любым вопро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сам контрольной деятельности, возможность административного обжалования).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Согласно постановлению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 государственных и муниципальных услуг (осуществление функций)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контрольным органом внесены сведения в Единый реестр видов контроля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– ЕРВК)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включающие: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вид регионального контроля (надзора);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сведения о контрольном органе, осуществляющем регио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нальный контроль (надзор);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 сведения по вопросам осуществления регионального контроля (надзора) и соблюдения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 сведения о профилактических мероприятиях, контрольных (надзорных) мероприятиях и контрольных (надзорных) действиях,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существляемых в рамках конкретных видов контрольных (надзорных) мероприятий, проведение которых возможно при осуществлении регионального контроля (надзора), о специальных режимах регионального контроля (надзора);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5) сведения о нормативных правовых актах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отношении регионального контроля (надзора).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ольным органом определены должностные лица, ответственные за внесение сведений в ЕРВК, единый реестр контрольных (надзорных) мероприятий (далее – ЕРКНМ), ГИС ТОР КНД,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официальный сайт контрольного органа.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 формировании ежегодных планов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тов и услуг, подлежащих проверке в отчетном периоде, с целью своевременного выявления и пресечения нарушений в сфере обеспечения доступности объектов социального обслуживания и социальных услуг для маломобильных групп населения и инвалидов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 осуществлении регионального контроля (надзора) контрольный орган взаимодействовал с другими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органами государственного контроля (надзора) при согласовании сроков проведения плановых проверок (в том числе прокуратурой Новосибирской области).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итогам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года с прокуратурой Новосибирской области контрольным органом проводились сверки данных по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существленным плановым проверкам в установленных сферах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Перечнем поручений по итогам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 w:eastAsia="ru-RU"/>
        </w:rPr>
        <w:t xml:space="preserve">XXV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Петербургского международного экономического форума, утвержденным Президентом Российской Федерации от 20.07.2022 № Пр-1269, в пл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 КНМ включаются объекты, отнесенные к высокому риску.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Критерии отнесения объектов регионального контроля (надзора) к категориям риска в рамка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х осуществления регионального контроля (надзора) определены в Положении, утвержденном постановлением № 363-п.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Реестр контролируемых лиц при осуществлении регионального контроля (надзора)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году размещен на официальном сайте контрольного органа в разделе «Деятельность/Контрольно-надзорная деятельность/Результаты проверок в рамках осуществления регионального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осударственного контроля (надзора)»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18. 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 целью недопущения, 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ных требований законодательства в сфере социального обслуживания: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размещены на официальном сайте контрольного органа нормативные правовые акты, содержащие обязательные требования, оценка соблюдения которых является предметом регионального контроля (надз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ора),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текстов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соответствующих нормативных правовых актов;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опубликования на официальном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сайте контрольного органа соответствующих нормативных правовых актов по соблюдению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 проведения публичных мероприятий с контролируемыми лицами, направленные на соблюдение положений перечня актов, содержащих обязательные требовани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я, соблюдение которых оценивается при проведении мероприятий при осуществлении регионального контроля (надзора) за соблюдением законодательства в сфере социального обслуживания, обеспечения доступности для инвалидов объектов социальной, инженерной и трансп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ортной инфраструктур и предоставляемых услуг (в ходе указанных профилактических мероприятий даны ответы на вопросы слушателей, переданы методические и презентационные материалы, подготовлены и размещены в общем доступе на официальном сайте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руководства по соблюдению обязательных требований);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в) проведения разъяснительной работы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ательства в сфере социального обслуживания;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г) осуществления направления официальных писем информационного, рекомендательного и предупредительного характера в адрес контролируемых лиц, а также глав муниципальных районов и городских округов Новосибирской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бласти, департамента по социальной политике мэрии города Новосибирска, в ведении которых находятся муниципальные учреждения социального обслуживания (на основании Законов Новосибирской области от 19.10.2016</w:t>
        <w:br/>
        <w:t xml:space="preserve">№ 41-ОЗ «О наделении органов местного 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граждан», от 13.12.2006 № 65-ОЗ «О наделении органов местного самоуправления муниц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граждан»), в случае изменения обязательных требований законодательства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сфере социального обслуживания о содержании новых нормативных правовых актов, устанавливающих обязательные требования, а также рекомендации и требования о проведении необходимых организационных мероприятий, направленных на внедрение и обеспечение соблюден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ия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д) осуществления обобщения правоприменительной практики (не реже одного раза в год) и размещения на официальном сайте контрольного органа доклада,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содержащего результаты осуществления регионального контроля (надзора)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(далее – д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оклад о правоприменительной практике).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Вместе с тем,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году проводились: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 мероприятия регионального контроля (надзора), при проведении которых не требуется взаимодействие контрольного органа с юридическими лицами, индивидуальными предпринимателями: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а) мониторинг содерж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ания в информационно-телекоммуникационной сети «Интернет» информации, содержащейся на официальных сайтах контролируемых лиц (комплексных центров социального обслуживания населения, муниципальных учреждений для детей-сирот и детей, оставшихся без попечения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родителей, муниципальных социально-реабилитационных центров для несовершеннолетних);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б) мониторинг информации, содержащейся в реестре контролируемых лиц, размещенном на официальном сайте контрольного органа;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 анализ информации, содержащейся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обращениях граждан, организаций, органов государственной власти Новосибирской области о деятельности либо действиях (бездействии) контролируемых лиц, осуществляющих социальное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обслуживание, на предмет наличия правовых оснований для проведения внеплановых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роверок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Кроме того, при обнаружении в ходе указанных мероприятий нарушений требований законодательства в сфере социального обслуживания контрольным органом осуществлялась подготовка и направление официальных писем предупредительного хар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актера в адрес контролируемых лиц, а также глав муниципальных районов и городских округов Новосибирской области, департамента по социальной политике мэрии города Новосибирска, в ведении которых находятся муниципальные учреждения социального обслуживания,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необходимости соблюдения обязательных требований законодательства в сфере социального обслуживания с требованиями о проведении необходимых организационных мероприятий, направленных на обеспечение соблюдения обязательных требований.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постановлением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Губернатора Новосибирской области от 28.07.2022 № 136 «О Порядке установления и оценки применения обязательных требований, со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области» сформирован и размещен Реестр обязательных требований контрольного органа, осуществляющег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 территории Новосибирской области.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Приказом министерства труда и социального развития Новосибирской области от 17.08.2022 № 1084 «О лицах, ответственных за размещение сведений в Реестре обязательных требований» утвержден перечень ответственных лиц контрольного органа за размещение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сведений в Реестре обязательных требований.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19.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вии с пост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ановлением Правительства Российской Федерации от 10.03.2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022 № 336 «Об особенностях организации и осуществления государственного контроля (надзора), муниципального контроля»                           (далее – Постановление № 336) контрольно-надзорные мероприятия (плановые, внеплановые) в сфере социального обслуж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2024 году не проводилось.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 целях недопущения и устранения выявленных нарушений обязательных требований контрольным органом проводится наблюдение за соблюдением обязательных требований без взаимодействия с контролируемым лицом.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2023 году контрольным органом проведено 52 мероприятия, из них: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 информирования, 1 публичное обсуждение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29 консультирований, 18 профилактических визитов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Нарушений обязательных требований в 2023 году не выявлено.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2024 году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контрольным органом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проведено 42 мероприятия, направленных на профилактику 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рушений обязательных требований, из них: 4 информирования, 1 публичное обсуждение правоприменительной практики, 19 консультирований, 12 профилактических визитов, объявлено 6 предостережений в части нарушений информационной открытости контролируемого лица.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Увеличение количества вынесенных предостережений о недопустимости нарушения обязательных требований связано с повышением качества контроля при проведении профилактических мероприятий без взаимодействия с контролируемыми лицами.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Количество профилактических мероприятий без взаимодействия с контролируемыми лицами в 2025 году планируется увеличить.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0"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Проблемными остаются вопросы в части информационной открытости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Заявлений контролируемых лиц, информации от органов государственной власти Новосибирской области, органов местного самоуправления, средств массовой информации о фактах нарушений в сфере социального обслуживания в контрольный орган в 2024 году не поступало.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Таким образом, контрольны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м органом выполнены все мероприятия, предусмотренные Программой на 2024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 Пункты 27 - 29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«27. </w:t>
      </w:r>
      <w:r>
        <w:rPr>
          <w:rFonts w:ascii="Times New Roman" w:hAnsi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</w:t>
      </w:r>
      <w:r>
        <w:rPr>
          <w:rFonts w:ascii="Times New Roman" w:hAnsi="Times New Roman"/>
          <w:sz w:val="28"/>
          <w:szCs w:val="28"/>
        </w:rPr>
        <w:t xml:space="preserve">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</w:t>
      </w:r>
      <w:r>
        <w:rPr>
          <w:rFonts w:ascii="Times New Roman" w:hAnsi="Times New Roman"/>
          <w:sz w:val="28"/>
          <w:szCs w:val="28"/>
        </w:rPr>
        <w:t xml:space="preserve">м ему объектам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</w:t>
      </w:r>
      <w:r>
        <w:rPr>
          <w:rFonts w:ascii="Times New Roman" w:hAnsi="Times New Roman"/>
          <w:sz w:val="28"/>
          <w:szCs w:val="28"/>
        </w:rPr>
        <w:t xml:space="preserve">объекта государственного контроля (надзора) исходя из отнесения его к соответствующей категории риска.</w:t>
      </w:r>
    </w:p>
    <w:p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ходе профилактического визита должностное лицо министерства осуществляет ознакомление с объектом государственного контроля (надзора), сбор сведений, не</w:t>
      </w:r>
      <w:r>
        <w:rPr>
          <w:rFonts w:ascii="Times New Roman" w:hAnsi="Times New Roman"/>
          <w:sz w:val="28"/>
          <w:szCs w:val="28"/>
        </w:rPr>
        <w:t xml:space="preserve">обходимых для отнесения объектов государственного контроля (надзора) к категориям риска, и проводит оценку уровня соблюдения контролируемым лицом обязательных требований.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Профилактический визит проводится по инициативе министерства (обязательный профилакти</w:t>
      </w:r>
      <w:r>
        <w:rPr>
          <w:rFonts w:ascii="Times New Roman" w:hAnsi="Times New Roman" w:eastAsia="Times New Roman"/>
          <w:sz w:val="28"/>
          <w:szCs w:val="28"/>
        </w:rPr>
        <w:t xml:space="preserve">ческий визит) или по инициативе контролируемого лица.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профилактического визита, в том числе обязательного, не может превышать двух часов в течение одного рабочего дня. </w:t>
      </w:r>
      <w:r>
        <w:rPr>
          <w:rFonts w:ascii="Times New Roman" w:hAnsi="Times New Roman"/>
          <w:sz w:val="28"/>
          <w:szCs w:val="28"/>
        </w:rPr>
        <w:t xml:space="preserve">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</w:t>
      </w:r>
      <w:r>
        <w:rPr>
          <w:rFonts w:ascii="Times New Roman" w:hAnsi="Times New Roman" w:eastAsia="Times New Roman"/>
          <w:sz w:val="28"/>
          <w:szCs w:val="28"/>
        </w:rPr>
        <w:t xml:space="preserve">ируемое лицо подает заявление о проведении профилактического визита посредством</w:t>
      </w:r>
      <w:r>
        <w:rPr>
          <w:rFonts w:ascii="Times New Roman" w:hAnsi="Times New Roman" w:eastAsia="Times New Roman"/>
          <w:sz w:val="28"/>
          <w:szCs w:val="28"/>
        </w:rPr>
        <w:t xml:space="preserve"> единого портала государственных и муниципальных услуг</w:t>
      </w:r>
      <w:r>
        <w:rPr>
          <w:rFonts w:ascii="Times New Roman" w:hAnsi="Times New Roman" w:eastAsia="Times New Roman"/>
          <w:sz w:val="28"/>
          <w:szCs w:val="28"/>
        </w:rPr>
        <w:t xml:space="preserve">. Министерство рассматривает </w:t>
      </w:r>
      <w:r>
        <w:rPr>
          <w:rFonts w:ascii="Times New Roman" w:hAnsi="Times New Roman" w:eastAsia="Times New Roman"/>
          <w:sz w:val="28"/>
          <w:szCs w:val="28"/>
        </w:rPr>
        <w:t xml:space="preserve">заявление  о</w:t>
      </w:r>
      <w:r>
        <w:rPr>
          <w:rFonts w:ascii="Times New Roman" w:hAnsi="Times New Roman" w:eastAsia="Times New Roman"/>
          <w:sz w:val="28"/>
          <w:szCs w:val="28"/>
        </w:rPr>
        <w:t xml:space="preserve"> проведении профилактического визита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случае принятия р</w:t>
      </w:r>
      <w:r>
        <w:rPr>
          <w:rFonts w:ascii="Times New Roman" w:hAnsi="Times New Roman" w:eastAsia="Times New Roman"/>
          <w:sz w:val="28"/>
          <w:szCs w:val="28"/>
        </w:rPr>
        <w:t xml:space="preserve">ешения о проведении профилактического визита министерство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Решение об отказе в проведении профилактического в</w:t>
      </w:r>
      <w:r>
        <w:rPr>
          <w:rFonts w:ascii="Times New Roman" w:hAnsi="Times New Roman" w:eastAsia="Times New Roman"/>
          <w:sz w:val="28"/>
          <w:szCs w:val="28"/>
        </w:rPr>
        <w:t xml:space="preserve">изита принимается в случаях, предусмотренных частью 4 статьи 52.2 Федерального закона № 248-ФЗ.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№ 248-ФЗ.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Контролируемое лицо вправе отозвать заявление о проведении профилактического визита либо направить отказ от проведения профилактического визита, уведомив об этом министерство не позднее чем за пять рабочих дней до даты его проведения.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Предписания об устран</w:t>
      </w:r>
      <w:r>
        <w:rPr>
          <w:rFonts w:ascii="Times New Roman" w:hAnsi="Times New Roman" w:eastAsia="Times New Roman"/>
          <w:sz w:val="28"/>
          <w:szCs w:val="28"/>
        </w:rPr>
        <w:t xml:space="preserve">ении выявленных в ходе профилактического визита нарушений обязательных требований контролируемым лицам не могут выдаваться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28. </w:t>
      </w:r>
      <w:r>
        <w:rPr>
          <w:rFonts w:ascii="Times New Roman" w:hAnsi="Times New Roman" w:eastAsia="Times New Roman"/>
          <w:sz w:val="28"/>
          <w:szCs w:val="28"/>
        </w:rPr>
        <w:t xml:space="preserve">Обязательный профилактический в</w:t>
      </w:r>
      <w:r>
        <w:rPr>
          <w:rFonts w:ascii="Times New Roman" w:hAnsi="Times New Roman" w:eastAsia="Times New Roman"/>
          <w:sz w:val="28"/>
          <w:szCs w:val="28"/>
        </w:rPr>
        <w:t xml:space="preserve">изит проводится в случаях, предусмотренных статьей 52.1 Федерального закона № 248-ФЗ.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Обязательный профилактический визит не предусматривает отказ контролируемого лица от его проведения.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рамках обязательного профилактического визита должностное лицо мини</w:t>
      </w:r>
      <w:r>
        <w:rPr>
          <w:rFonts w:ascii="Times New Roman" w:hAnsi="Times New Roman" w:eastAsia="Times New Roman"/>
          <w:sz w:val="28"/>
          <w:szCs w:val="28"/>
        </w:rPr>
        <w:t xml:space="preserve">стерства при необходимости проводит осмотр, истребование необходимых документов, </w:t>
      </w:r>
      <w:r>
        <w:rPr>
          <w:rFonts w:ascii="Times New Roman" w:hAnsi="Times New Roman" w:eastAsia="Times New Roman"/>
          <w:sz w:val="28"/>
          <w:szCs w:val="28"/>
        </w:rPr>
        <w:t xml:space="preserve">отбор проб (образцов), инструментальное обследование, испытание,</w:t>
        <w:br/>
        <w:t xml:space="preserve">экспертизу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(далее – акт обязательного профилактическог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 визита) в порядке, предусмотренном статьей 90 Федерального закона № 248-ФЗ для контрольных (надзорных) мероприятий.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r>
        <w:rPr>
          <w:rFonts w:ascii="Times New Roman" w:hAnsi="Times New Roman" w:eastAsia="Times New Roman"/>
          <w:sz w:val="28"/>
          <w:szCs w:val="28"/>
        </w:rPr>
        <w:t xml:space="preserve">статьей 88 Федерального закона № 248-ФЗ для контрольных (надзорных) мероприятий.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</w:t>
      </w:r>
      <w:r>
        <w:rPr>
          <w:rFonts w:ascii="Times New Roman" w:hAnsi="Times New Roman" w:eastAsia="Times New Roman"/>
          <w:sz w:val="28"/>
          <w:szCs w:val="28"/>
        </w:rPr>
        <w:t xml:space="preserve">ельного профилактического визита в порядке, предусмотренном статьей 90.1 Федерального закона № 248-ФЗ.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2024 году контрольным органо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м в отношении следующих контролируемых лиц проведено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12 профилактических визитов: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бюджетного учреждения «Комплексный центр социального обслуживания населения» Куйбышевского района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1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бюджетного учреждения «Комплексный центр социального обслуживания населения» города Искитима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1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области», 2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«Комплексный центр социального обслуживания населения Кыштовского района Новосибирской области», 2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Межрегиональной благотворительной общественной организации социальной адаптации граждан «ЛИНИЯ ЖИЗНИ», 2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Северного района Новосибирской области «Комплексный центр социального обслуживания населения Северного района»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2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бюджетного учреждения Тогучинского района «Комплексный центр социального обслуживания населения»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3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Тогучинского района «Центр помощи детям, оставшимся без попечения родителей», 3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   4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«Центр помощи детям, оставшимся без попечения родителей Татарского района Новосибирской области», 4 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«Центр помощи детям, оставшимся без попечения родителей Чистоозерного района Новосибирской области», 4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квартал 2024 года;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Муниципального казенного учреждения «Комплексный центр социального обслуживания населения» Чистоозерного района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                        4 квартал 2024 года.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Все профилактические визиты проводились по видео-конференц-связи.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Раздел V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«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val="en-US"/>
        </w:rPr>
        <w:t xml:space="preserve">V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. Показатели результативности и эффективности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30. 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Программа призвана обеспечить создание условий для снижения случаев нарушений законодательства в сфере социального обслуживания, повышения эффективности регионального кон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троля (надзора)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сфере социального обслуживания,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отсутствия фактов нарушений прав получателей социальных услуг и формирования заинтересованности контролируемых лиц в соблюдении законодательства в сфере социального обслуживания.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Ожидаемый социальный эффект в профилактике нарушений обязательных требований может быть достигнут в условиях исключения избыточного админ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истративного давления на контролируемые лица и конструктивного сотрудничества с контролируемыми лицами по вопросам соблюдения обязательных требований и осуществления регионального контроля (надзора) в сфере социального обслуживания в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Реализация настоящей Программы будет способствовать повышению эффективности обеспечения соблюдения установленных норм в сфере социального обслуживания, основанном на взаимном сотрудничестве контролируемых лиц и контрольного органа.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Оценка показателей эффективности Программы разработана для достижения оптимального распределения трудовых, материальных и финансовых ресурсов и минимизации неоправданного вмешательства контрольного органа в деятельность контролируемых лиц.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8"/>
        <w:gridCol w:w="1417"/>
        <w:gridCol w:w="1418"/>
      </w:tblGrid>
      <w:tr>
        <w:trPr/>
        <w:tblPrEx/>
        <w:tc>
          <w:tcPr>
            <w:tcW w:w="56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Целевые показатели реализации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Формула расчета показателей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2025 год планируемый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56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Эффективность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регионального кон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троля (надзора)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сфере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социального обслуживания в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% (относительно причиненного ущерба)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%=Нт/Нп х 100%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где: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Нт – количество нарушений законодательства, связанных с угрозой жизни, выявленных в текущем году;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Нп 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количество нарушений законодательства, связанных с угрозой жизни, выявленных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прошлом году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56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402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мероприятий, результаты которых признаны недействительными,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П.НН=П.Н./ПМ х 100%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где: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Доля П.НН – общая доля мероприятий, результаты которых признаны недействительными,%;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П.Н.- общее количество проведенных мероприятий, результаты которых признаны недействительными, ед.;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ПМ – общее количество проведенных мероприятий, 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418" w:type="dxa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ind w:right="-2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Оценка эффективн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ости и результативности Программы осуществляется по итогам календарного года посредством анализа выполнения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плана профилактических мероприятий, направленных на предупреждение нарушений контролируемыми лицами обязательных требований законодательства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сфере социального обслуживания и обеспечения доступности для инвалидов объектов социальной, инженерной и транспортной инфраструктур и предоставляемых услуг, и отчетных показателей выполнения мероприятий Программы.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Результаты оценки эффективности и резул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ьтативности профилактических мероприятий отражаются в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докладе о правоприменительной практике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 размещаются на официальном сайте контрольного органа в разделе «Деятельность/Контрольно-надзорная деятельность/Оценка результативности и эффективности контрольно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-надзорной деятельности.»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нумерационном заголовке Приложения № 1 слова «социального обслуживания» заменить словами «социального обслуживания на 2025 год».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5. Приложение № 2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изложить в редакции согласно приложению № 1 к настоящему приказу.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Приложение № 3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изложить в редакции согласно приложению № 2 к настоящему приказу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7.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Приложение №  4 признать утратившим силу.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17"/>
        <w:spacing w:before="0"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Е.В. Бахарева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А.В. Колчина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(383) 238 78 65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sectPr>
          <w:headerReference w:type="default" r:id="rId9"/>
          <w:footerReference w:type="first" r:id="rId11"/>
          <w:footnotePr/>
          <w:endnotePr/>
          <w:type w:val="nextPage"/>
          <w:pgSz w:w="11906" w:h="16838" w:orient="portrait"/>
          <w:pgMar w:top="1134" w:right="567" w:bottom="1106" w:left="1417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ind w:left="6803" w:right="-31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6803" w:right="-318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труда 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6803" w:right="-31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социального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803" w:right="-31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803" w:right="-31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803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2025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ПЛАН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проведения профилактических мероприятий при осуществлении регионального государственного контроля (надзора) в сфере социального обслуживания на 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2025 г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од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right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tbl>
      <w:tblPr>
        <w:tblW w:w="146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5" w:type="dxa"/>
          <w:top w:w="15" w:type="dxa"/>
          <w:right w:w="15" w:type="dxa"/>
          <w:bottom w:w="17" w:type="dxa"/>
        </w:tblCellMar>
        <w:tblLook w:val="04A0" w:firstRow="1" w:lastRow="0" w:firstColumn="1" w:lastColumn="0" w:noHBand="0" w:noVBand="1"/>
      </w:tblPr>
      <w:tblGrid>
        <w:gridCol w:w="445"/>
        <w:gridCol w:w="2514"/>
        <w:gridCol w:w="5851"/>
        <w:gridCol w:w="3207"/>
        <w:gridCol w:w="2610"/>
      </w:tblGrid>
      <w:tr>
        <w:trPr/>
        <w:tblPrEx/>
        <w:tc>
          <w:tcPr>
            <w:tcW w:w="0" w:type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Вид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Форма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Структурное подразделение, ответственное за реализацию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ind w:left="0" w:right="-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Сроки (периодичность) проведения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0" w:type="auto"/>
            <w:vMerge w:val="restart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vMerge w:val="restart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В соответствии со статьей 46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  <w:lang w:eastAsia="ru-RU"/>
              </w:rPr>
              <w:t xml:space="preserve"> Федерального закона № 248-ФЗ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размещение перечня правовых актов, содержащих обязательные требования на официальном сайте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*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 информационно-телекоммуникационной сети «Интернет»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в разделе «Контрольно-надзорная деятельность» (далее – официальный сайт), в средствах массовой информации и в иных формах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социального обслуживания населения и реабилитации инвалидов, управление семейной политики, отдел опеки и попечительства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 мере принятия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917"/>
        </w:trPr>
        <w:tblPrEx/>
        <w:tc>
          <w:tcPr>
            <w:tcW w:w="0" w:type="auto"/>
            <w:vMerge w:val="continue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14" w:type="dxa"/>
            <w:vMerge w:val="continue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социального обслуживания населения и реабилитации инвалидов, управл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 раз в полугодие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803"/>
        </w:trPr>
        <w:tblPrEx/>
        <w:tc>
          <w:tcPr>
            <w:tcW w:w="0" w:type="auto"/>
            <w:vMerge w:val="continue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14" w:type="dxa"/>
            <w:vMerge w:val="continue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Информирование контролируемых лиц** об изменениях, вносимых в действующие нормативные правовые акты, устанавливающие обязательные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требования, сроках и порядке вступления их в действие, путем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подготовки и размещения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ции социального обслуживания населения и реабилитации инвалидов,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 позднее трех рабочих дней со дня внесения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изменений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1736"/>
        </w:trPr>
        <w:tblPrEx/>
        <w:tc>
          <w:tcPr>
            <w:tcW w:w="0" w:type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Обобщение и анализ правоприменительной практики регионального контроля (надзора) и размещение утвержденного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доклада о правоприменительной практике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на официальном сайте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 срок, не превышающий 10 рабочих дней со дня его утверждения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иального обслуживания населения и реабилитации инвалидов, управление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Ежегодно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(не позднее 15 марта года, следующего за отчетным)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0" w:type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Объявление предостережения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Объявление предостережений контролируемым лицам с целью принятия мер по обеспечению соблюдения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социального обслуживания населения и реабилитации инвалидов, управление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 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чение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(при наличии оснований)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115"/>
        </w:trPr>
        <w:tblPrEx/>
        <w:tc>
          <w:tcPr>
            <w:tcW w:w="0" w:type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Проведение консультирования в письменной форме, в устной форме – по телефону, посредством видео-конференц-связи, на личном приеме либо в ходе осуществления контрольного (надзорного)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социального обслуживания населения и реабилитации инвалидов, управление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(при наличии оснований)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0" w:type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14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рофилактические визиты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851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ние обязательных профилактических визитов в отношении контролируемых лиц, предоставивших уведомление о начале осуществления деятельности в сфере социального обслуживания***, а также в отношении объектов контроля, отнесенных к категориям высокого риска****.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профилактических визитов по инициативе контролируемого лица*****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07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Управление организации соци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ального обслуживания населения и реабилитации инвалидов, управление семейной политики, отдел опеки и попечительства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10" w:type="dxa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  <w:vAlign w:val="center"/>
          </w:tcPr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(при наличии оснований)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tabs>
                <w:tab w:val="left" w:pos="567" w:leader="none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*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онтрольный орган – м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инистерство труда и социального развития Новосибирской области. 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**Контролируемые лица – поставщики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обслуживание.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***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Перечень контролируемых лиц, п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риступивших не позднее шести месяцев к осуществлению своей деятельности, размещается контрольным органом на официальном сайте контрольного органа в разделе «Деятельность/Контрольно-надзорная деятельность/ 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Профилактика рисков причинения вреда» не позднее посл</w:t>
      </w:r>
      <w:r>
        <w:rPr>
          <w:rFonts w:ascii="Times New Roman" w:hAnsi="Times New Roman" w:eastAsia="Calibri" w:cs="Times New Roman"/>
          <w:sz w:val="24"/>
          <w:szCs w:val="24"/>
          <w:highlight w:val="white"/>
          <w:lang w:eastAsia="ru-RU"/>
        </w:rPr>
        <w:t xml:space="preserve">еднего числа каждого месяца.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**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*График проведения профилактических визитов в отношении объектов контроля, отнесенных к категориям высокого риска, формируется ежегодно в декабре месяце и размещается контрольным органом на официальном сайте контрольного орг</w:t>
      </w:r>
      <w:r>
        <w:rPr>
          <w:rFonts w:ascii="Times New Roman" w:hAnsi="Times New Roman" w:eastAsia="Calibri" w:cs="Times New Roman"/>
          <w:sz w:val="24"/>
          <w:szCs w:val="24"/>
          <w:highlight w:val="white"/>
        </w:rPr>
        <w:t xml:space="preserve">ана в разделе «Деятельность/Контрольно-надзорная деятельность/Профилактика рисков причинения вреда».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whit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*****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Профилактический визит по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инициативе контролируемого лица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может быть проведен по его заявлению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, если такое лицо относится к субъектам малого предпринимательства,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является социально-ориентированной некоммерческой организацией либо государственным 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или муниципальным учреждением.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tabs>
          <w:tab w:val="left" w:pos="567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tabs>
          <w:tab w:val="left" w:pos="567" w:leader="none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tabs>
          <w:tab w:val="left" w:pos="567" w:leader="none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ind w:left="6945" w:right="-45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7654" w:right="-459" w:hanging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министерства труда 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6945" w:right="-45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социального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945" w:right="-45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945" w:right="-45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6945" w:right="-459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2025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обязательных профилактических визитов, запланированных к проведению в соответствии с частью 1 статьи 52.1 Федерального закона от 31.07.2023 № 248-ФЗ «О государственном контроле (надзоре) и муниципальном контроле в Российской Федерации» в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2025 г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оду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688"/>
        <w:tblW w:w="14843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28"/>
        <w:gridCol w:w="2252"/>
        <w:gridCol w:w="1656"/>
        <w:gridCol w:w="1763"/>
        <w:gridCol w:w="1491"/>
        <w:gridCol w:w="1990"/>
        <w:gridCol w:w="1761"/>
        <w:gridCol w:w="1417"/>
        <w:gridCol w:w="1984"/>
      </w:tblGrid>
      <w:tr>
        <w:trPr/>
        <w:tblPrEx/>
        <w:tc>
          <w:tcPr>
            <w:tcW w:w="528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671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644" w:type="dxa"/>
            <w:gridSpan w:val="5"/>
            <w:noWrap w:val="false"/>
            <w:textDirection w:val="lrTb"/>
          </w:tcPr>
          <w:p>
            <w:pPr>
              <w:ind w:left="0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об обязательном профилактическом визите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25"/>
        </w:trPr>
        <w:tblPrEx/>
        <w:tc>
          <w:tcPr>
            <w:tcW w:w="528" w:type="dxa"/>
            <w:vMerge w:val="continue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2" w:type="dxa"/>
            <w:noWrap w:val="false"/>
            <w:textDirection w:val="lrTb"/>
          </w:tcPr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656" w:type="dxa"/>
            <w:noWrap w:val="false"/>
            <w:textDirection w:val="lrTb"/>
          </w:tcPr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Основной государственный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(ОГРН)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3" w:type="dxa"/>
            <w:noWrap w:val="false"/>
            <w:textDirection w:val="lrTb"/>
          </w:tcPr>
          <w:p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Идентифи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кационный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номер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налогопла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тельщика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(ИНН)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91" w:type="dxa"/>
            <w:noWrap w:val="false"/>
            <w:textDirection w:val="lrTb"/>
          </w:tcPr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 категории риска причинения вреда (ущерба)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90" w:type="dxa"/>
            <w:noWrap w:val="false"/>
            <w:textDirection w:val="lrTb"/>
          </w:tcPr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Форма обязательного профилактического визита (на месте осуществления контролируемой деятельности /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1" w:type="dxa"/>
            <w:noWrap w:val="false"/>
            <w:textDirection w:val="lrTb"/>
          </w:tcPr>
          <w:p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Место проведения обязательного профилактического визита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spacing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обязательного профилакти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визита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noWrap w:val="false"/>
            <w:textDirection w:val="lrTb"/>
          </w:tcPr>
          <w:p>
            <w:pPr>
              <w:spacing w:line="283" w:lineRule="exact"/>
              <w:ind w:left="0" w:right="175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Срок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обязательного профилакти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ческого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визита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10"/>
        <w:gridCol w:w="1559"/>
        <w:gridCol w:w="1418"/>
        <w:gridCol w:w="1843"/>
        <w:gridCol w:w="1559"/>
        <w:gridCol w:w="1417"/>
        <w:gridCol w:w="2329"/>
      </w:tblGrid>
      <w:tr>
        <w:trPr>
          <w:trHeight w:val="2268"/>
        </w:trPr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Межрегиональная благотворительная общественная организация социальной адаптации граждан «ЛИНИЯ ЖИЗНИ»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10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1105400002179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5405950017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видео-конференц-связь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24.06.2025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right="732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10"/>
        <w:gridCol w:w="1559"/>
        <w:gridCol w:w="1418"/>
        <w:gridCol w:w="1843"/>
        <w:gridCol w:w="1559"/>
        <w:gridCol w:w="1417"/>
        <w:gridCol w:w="2329"/>
      </w:tblGrid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казенное учреждение «Комплексный центр социального обслуживания населения Каргатского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10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1095464000807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5423000794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10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1095464000774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5442001183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10"/>
        <w:gridCol w:w="1559"/>
        <w:gridCol w:w="1418"/>
        <w:gridCol w:w="1843"/>
        <w:gridCol w:w="1559"/>
        <w:gridCol w:w="1417"/>
        <w:gridCol w:w="2329"/>
      </w:tblGrid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учреждения  «Комплексный центр социального обслуживания населения» города Искитима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10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1025404791840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5446112208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14.08.2025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43"/>
        <w:gridCol w:w="1525"/>
        <w:gridCol w:w="1418"/>
        <w:gridCol w:w="1843"/>
        <w:gridCol w:w="1559"/>
        <w:gridCol w:w="1417"/>
        <w:gridCol w:w="2329"/>
      </w:tblGrid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учреждения Краснозерского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1095456000750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25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5427107315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19.08.2025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казенное учреждение «Комплексный центр социального обслуживания населения Кыштовского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1025406426627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25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5430101225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03.09.2025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43"/>
        <w:gridCol w:w="1559"/>
        <w:gridCol w:w="1385"/>
        <w:gridCol w:w="1843"/>
        <w:gridCol w:w="1559"/>
        <w:gridCol w:w="1417"/>
        <w:gridCol w:w="2329"/>
      </w:tblGrid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1025406824420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5452109700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09.09.2025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учреждение Тогучинского района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1095461001613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5438318685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16.09.2025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1095471000536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5435111763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08.10.2025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43"/>
        <w:gridCol w:w="1559"/>
        <w:gridCol w:w="1385"/>
        <w:gridCol w:w="1843"/>
        <w:gridCol w:w="1559"/>
        <w:gridCol w:w="1417"/>
        <w:gridCol w:w="2329"/>
      </w:tblGrid>
      <w:tr>
        <w:trPr/>
        <w:tblPrEx/>
        <w:tc>
          <w:tcPr>
            <w:tcW w:w="56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муниципального округа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1095468000539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5453177171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-связ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ь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417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vMerge w:val="restart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688"/>
        <w:tblW w:w="14882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843"/>
        <w:gridCol w:w="1559"/>
        <w:gridCol w:w="1385"/>
        <w:gridCol w:w="1843"/>
        <w:gridCol w:w="1559"/>
        <w:gridCol w:w="1417"/>
        <w:gridCol w:w="2329"/>
      </w:tblGrid>
      <w:tr>
        <w:trPr>
          <w:trHeight w:val="2056"/>
        </w:trPr>
        <w:tblPrEx/>
        <w:tc>
          <w:tcPr>
            <w:tcW w:w="567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Муниципальное казенное учреждение «Центр помощи детям, оставшимся без попечения родителей Чистоозерного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1025405018671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5441103383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385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 месте осуществления контролируемой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after="45" w:afterAutospacing="0" w:line="283" w:lineRule="exac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Новосибирская область, </w:t>
            </w:r>
          </w:p>
          <w:p>
            <w:pPr>
              <w:spacing w:after="45" w:afterAutospacing="0" w:line="283" w:lineRule="exac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Чистоозерный район, </w:t>
            </w:r>
          </w:p>
          <w:p>
            <w:pPr>
              <w:spacing w:after="45" w:afterAutospacing="0" w:line="283" w:lineRule="exac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д. Очкино, </w:t>
            </w:r>
          </w:p>
          <w:p>
            <w:pPr>
              <w:spacing w:after="45" w:afterAutospacing="0" w:line="283" w:lineRule="exac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ул. 50 лет Октября, д. 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28.11.2025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29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afterAutospacing="0" w:line="240" w:lineRule="auto"/>
        <w:ind w:left="0" w:right="-45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459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-459" w:firstLine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sectPr>
      <w:headerReference w:type="default" r:id="rId10"/>
      <w:footnotePr/>
      <w:endnotePr/>
      <w:type w:val="continuous"/>
      <w:pgSz w:w="16838" w:h="11906" w:orient="landscape"/>
      <w:pgMar w:top="1417" w:right="1134" w:bottom="567" w:left="110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fldSimple w:instr="PAGE \* MERGEFORMAT">
      <w:r>
        <w:t xml:space="preserve">1</w:t>
      </w:r>
    </w:fldSimple>
  </w:p>
  <w:p>
    <w:pPr>
      <w:pStyle w:val="8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character" w:styleId="815">
    <w:name w:val="footnote reference"/>
    <w:basedOn w:val="849"/>
    <w:uiPriority w:val="99"/>
    <w:unhideWhenUsed/>
    <w:rPr>
      <w:vertAlign w:val="superscript"/>
    </w:rPr>
  </w:style>
  <w:style w:type="character" w:styleId="816">
    <w:name w:val="endnote reference"/>
    <w:basedOn w:val="849"/>
    <w:uiPriority w:val="99"/>
    <w:semiHidden/>
    <w:unhideWhenUsed/>
    <w:rPr>
      <w:vertAlign w:val="superscript"/>
    </w:rPr>
  </w:style>
  <w:style w:type="paragraph" w:styleId="817" w:default="1">
    <w:name w:val="Normal"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18">
    <w:name w:val="Heading 1"/>
    <w:basedOn w:val="817"/>
    <w:qFormat/>
    <w:pPr>
      <w:keepNext/>
      <w:spacing w:before="240" w:after="60"/>
      <w:jc w:val="both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19">
    <w:name w:val="Heading 2"/>
    <w:basedOn w:val="817"/>
    <w:unhideWhenUsed/>
    <w:qFormat/>
    <w:pPr>
      <w:keepNext/>
      <w:spacing w:before="240" w:after="60"/>
      <w:jc w:val="both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20">
    <w:name w:val="Heading 3"/>
    <w:basedOn w:val="8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1">
    <w:name w:val="Heading 4"/>
    <w:basedOn w:val="817"/>
    <w:qFormat/>
    <w:pPr>
      <w:keepNext/>
      <w:spacing w:before="0" w:after="0" w:line="240" w:lineRule="auto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22">
    <w:name w:val="Heading 5"/>
    <w:basedOn w:val="81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3">
    <w:name w:val="Heading 6"/>
    <w:basedOn w:val="81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4">
    <w:name w:val="Heading 7"/>
    <w:basedOn w:val="81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8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81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1 Char"/>
    <w:basedOn w:val="849"/>
    <w:uiPriority w:val="9"/>
    <w:qFormat/>
    <w:rPr>
      <w:rFonts w:ascii="Arial" w:hAnsi="Arial" w:eastAsia="Arial" w:cs="Arial"/>
      <w:sz w:val="40"/>
      <w:szCs w:val="40"/>
    </w:rPr>
  </w:style>
  <w:style w:type="character" w:styleId="828">
    <w:name w:val="Heading 2 Char"/>
    <w:basedOn w:val="849"/>
    <w:uiPriority w:val="9"/>
    <w:qFormat/>
    <w:rPr>
      <w:rFonts w:ascii="Arial" w:hAnsi="Arial" w:eastAsia="Arial" w:cs="Arial"/>
      <w:sz w:val="34"/>
    </w:rPr>
  </w:style>
  <w:style w:type="character" w:styleId="829">
    <w:name w:val="Heading 3 Char"/>
    <w:basedOn w:val="849"/>
    <w:uiPriority w:val="9"/>
    <w:qFormat/>
    <w:rPr>
      <w:rFonts w:ascii="Arial" w:hAnsi="Arial" w:eastAsia="Arial" w:cs="Arial"/>
      <w:sz w:val="30"/>
      <w:szCs w:val="30"/>
    </w:rPr>
  </w:style>
  <w:style w:type="character" w:styleId="830">
    <w:name w:val="Heading 4 Char"/>
    <w:basedOn w:val="8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1">
    <w:name w:val="Heading 5 Char"/>
    <w:basedOn w:val="8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2">
    <w:name w:val="Heading 6 Char"/>
    <w:basedOn w:val="8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3">
    <w:name w:val="Heading 7 Char"/>
    <w:basedOn w:val="8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8 Char"/>
    <w:basedOn w:val="8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5">
    <w:name w:val="Heading 9 Char"/>
    <w:basedOn w:val="8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6">
    <w:name w:val="Title Char"/>
    <w:basedOn w:val="849"/>
    <w:uiPriority w:val="10"/>
    <w:qFormat/>
    <w:rPr>
      <w:sz w:val="48"/>
      <w:szCs w:val="48"/>
    </w:rPr>
  </w:style>
  <w:style w:type="character" w:styleId="837">
    <w:name w:val="Subtitle Char"/>
    <w:basedOn w:val="849"/>
    <w:uiPriority w:val="11"/>
    <w:qFormat/>
    <w:rPr>
      <w:sz w:val="24"/>
      <w:szCs w:val="24"/>
    </w:rPr>
  </w:style>
  <w:style w:type="character" w:styleId="838">
    <w:name w:val="Quote Char"/>
    <w:uiPriority w:val="29"/>
    <w:qFormat/>
    <w:rPr>
      <w:i/>
    </w:rPr>
  </w:style>
  <w:style w:type="character" w:styleId="839">
    <w:name w:val="Intense Quote Char"/>
    <w:uiPriority w:val="30"/>
    <w:qFormat/>
    <w:rPr>
      <w:i/>
    </w:rPr>
  </w:style>
  <w:style w:type="character" w:styleId="840">
    <w:name w:val="Header Char"/>
    <w:basedOn w:val="849"/>
    <w:uiPriority w:val="99"/>
    <w:qFormat/>
  </w:style>
  <w:style w:type="character" w:styleId="841">
    <w:name w:val="Footer Char"/>
    <w:basedOn w:val="849"/>
    <w:uiPriority w:val="99"/>
    <w:qFormat/>
  </w:style>
  <w:style w:type="character" w:styleId="842">
    <w:name w:val="Caption Char"/>
    <w:uiPriority w:val="99"/>
    <w:qFormat/>
  </w:style>
  <w:style w:type="character" w:styleId="843">
    <w:name w:val="Footnote Text Char"/>
    <w:uiPriority w:val="99"/>
    <w:qFormat/>
    <w:rPr>
      <w:sz w:val="18"/>
    </w:rPr>
  </w:style>
  <w:style w:type="character" w:styleId="844">
    <w:name w:val="Привязка сноски"/>
    <w:rPr>
      <w:vertAlign w:val="superscript"/>
    </w:rPr>
  </w:style>
  <w:style w:type="character" w:styleId="845">
    <w:name w:val="Footnote Characters"/>
    <w:uiPriority w:val="99"/>
    <w:unhideWhenUsed/>
    <w:qFormat/>
    <w:rPr>
      <w:vertAlign w:val="superscript"/>
    </w:rPr>
  </w:style>
  <w:style w:type="character" w:styleId="846">
    <w:name w:val="Endnote Text Char"/>
    <w:uiPriority w:val="99"/>
    <w:qFormat/>
    <w:rPr>
      <w:sz w:val="20"/>
    </w:rPr>
  </w:style>
  <w:style w:type="character" w:styleId="847">
    <w:name w:val="Привязка концевой сноски"/>
    <w:rPr>
      <w:vertAlign w:val="superscript"/>
    </w:rPr>
  </w:style>
  <w:style w:type="character" w:styleId="848">
    <w:name w:val="Endnote Characters"/>
    <w:uiPriority w:val="99"/>
    <w:semiHidden/>
    <w:unhideWhenUsed/>
    <w:qFormat/>
    <w:rPr>
      <w:vertAlign w:val="superscript"/>
    </w:rPr>
  </w:style>
  <w:style w:type="character" w:styleId="849" w:default="1">
    <w:name w:val="Default Paragraph Font"/>
    <w:uiPriority w:val="1"/>
    <w:semiHidden/>
    <w:unhideWhenUsed/>
    <w:qFormat/>
  </w:style>
  <w:style w:type="character" w:styleId="850" w:customStyle="1">
    <w:name w:val="Заголовок 1 Знак"/>
    <w:basedOn w:val="849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851" w:customStyle="1">
    <w:name w:val="Заголовок 2 Знак"/>
    <w:basedOn w:val="849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852" w:customStyle="1">
    <w:name w:val="Заголовок 4 Знак"/>
    <w:basedOn w:val="84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3" w:customStyle="1">
    <w:name w:val="Текст выноски Знак"/>
    <w:basedOn w:val="849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854">
    <w:name w:val="Интернет-ссылка"/>
    <w:uiPriority w:val="99"/>
    <w:rPr>
      <w:rFonts w:cs="Times New Roman"/>
      <w:color w:val="0000ff"/>
      <w:u w:val="single"/>
    </w:rPr>
  </w:style>
  <w:style w:type="character" w:styleId="855" w:customStyle="1">
    <w:name w:val="Верхний колонтитул Знак"/>
    <w:basedOn w:val="849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6" w:customStyle="1">
    <w:name w:val="Основной текст Знак"/>
    <w:basedOn w:val="84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7" w:customStyle="1">
    <w:name w:val="Нижний колонтитул Знак"/>
    <w:basedOn w:val="849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Основной текст с отступом Знак"/>
    <w:basedOn w:val="849"/>
    <w:uiPriority w:val="99"/>
    <w:qFormat/>
    <w:rPr>
      <w:rFonts w:ascii="Calibri" w:hAnsi="Calibri" w:eastAsia="Times New Roman" w:cs="Times New Roman"/>
      <w:lang w:eastAsia="ru-RU"/>
    </w:rPr>
  </w:style>
  <w:style w:type="character" w:styleId="859">
    <w:name w:val="Strong"/>
    <w:uiPriority w:val="22"/>
    <w:qFormat/>
    <w:rPr>
      <w:b/>
      <w:bCs/>
    </w:rPr>
  </w:style>
  <w:style w:type="character" w:styleId="860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861">
    <w:name w:val="annotation reference"/>
    <w:basedOn w:val="849"/>
    <w:uiPriority w:val="99"/>
    <w:semiHidden/>
    <w:unhideWhenUsed/>
    <w:qFormat/>
    <w:rPr>
      <w:sz w:val="16"/>
      <w:szCs w:val="16"/>
    </w:rPr>
  </w:style>
  <w:style w:type="character" w:styleId="862" w:customStyle="1">
    <w:name w:val="Текст примечания Знак"/>
    <w:basedOn w:val="849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863" w:customStyle="1">
    <w:name w:val="Тема примечания Знак"/>
    <w:basedOn w:val="862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864">
    <w:name w:val="Заголовок"/>
    <w:basedOn w:val="817"/>
    <w:next w:val="86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5">
    <w:name w:val="Body Text"/>
    <w:basedOn w:val="817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6">
    <w:name w:val="List"/>
    <w:basedOn w:val="865"/>
    <w:rPr>
      <w:rFonts w:cs="Droid Sans Devanagari"/>
    </w:rPr>
  </w:style>
  <w:style w:type="paragraph" w:styleId="867">
    <w:name w:val="Caption"/>
    <w:basedOn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8">
    <w:name w:val="Указатель"/>
    <w:basedOn w:val="817"/>
    <w:qFormat/>
    <w:pPr>
      <w:suppressLineNumbers/>
    </w:pPr>
    <w:rPr>
      <w:rFonts w:cs="Droid Sans Devanagari"/>
    </w:rPr>
  </w:style>
  <w:style w:type="paragraph" w:styleId="869">
    <w:name w:val="Title"/>
    <w:basedOn w:val="81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70">
    <w:name w:val="Subtitle"/>
    <w:basedOn w:val="817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basedOn w:val="817"/>
    <w:uiPriority w:val="29"/>
    <w:qFormat/>
    <w:pPr>
      <w:ind w:left="720" w:right="720" w:firstLine="0"/>
    </w:pPr>
    <w:rPr>
      <w:i/>
    </w:rPr>
  </w:style>
  <w:style w:type="paragraph" w:styleId="872">
    <w:name w:val="Intense Quote"/>
    <w:basedOn w:val="8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200"/>
      <w:ind w:left="720" w:right="720" w:firstLine="0"/>
    </w:pPr>
    <w:rPr>
      <w:i/>
    </w:rPr>
  </w:style>
  <w:style w:type="paragraph" w:styleId="873">
    <w:name w:val="footnote text"/>
    <w:basedOn w:val="8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4">
    <w:name w:val="endnote text"/>
    <w:basedOn w:val="8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5">
    <w:name w:val="toc 3"/>
    <w:basedOn w:val="817"/>
    <w:uiPriority w:val="39"/>
    <w:unhideWhenUsed/>
    <w:pPr>
      <w:spacing w:before="0" w:after="57"/>
      <w:ind w:left="567" w:right="0" w:firstLine="0"/>
    </w:pPr>
  </w:style>
  <w:style w:type="paragraph" w:styleId="876">
    <w:name w:val="toc 4"/>
    <w:basedOn w:val="817"/>
    <w:uiPriority w:val="39"/>
    <w:unhideWhenUsed/>
    <w:pPr>
      <w:spacing w:before="0" w:after="57"/>
      <w:ind w:left="850" w:right="0" w:firstLine="0"/>
    </w:pPr>
  </w:style>
  <w:style w:type="paragraph" w:styleId="877">
    <w:name w:val="toc 5"/>
    <w:basedOn w:val="817"/>
    <w:uiPriority w:val="39"/>
    <w:unhideWhenUsed/>
    <w:pPr>
      <w:spacing w:before="0" w:after="57"/>
      <w:ind w:left="1134" w:right="0" w:firstLine="0"/>
    </w:pPr>
  </w:style>
  <w:style w:type="paragraph" w:styleId="878">
    <w:name w:val="toc 6"/>
    <w:basedOn w:val="817"/>
    <w:uiPriority w:val="39"/>
    <w:unhideWhenUsed/>
    <w:pPr>
      <w:spacing w:before="0" w:after="57"/>
      <w:ind w:left="1417" w:right="0" w:firstLine="0"/>
    </w:pPr>
  </w:style>
  <w:style w:type="paragraph" w:styleId="879">
    <w:name w:val="toc 7"/>
    <w:basedOn w:val="817"/>
    <w:uiPriority w:val="39"/>
    <w:unhideWhenUsed/>
    <w:pPr>
      <w:spacing w:before="0" w:after="57"/>
      <w:ind w:left="1701" w:right="0" w:firstLine="0"/>
    </w:pPr>
  </w:style>
  <w:style w:type="paragraph" w:styleId="880">
    <w:name w:val="toc 8"/>
    <w:basedOn w:val="817"/>
    <w:uiPriority w:val="39"/>
    <w:unhideWhenUsed/>
    <w:pPr>
      <w:spacing w:before="0" w:after="57"/>
      <w:ind w:left="1984" w:right="0" w:firstLine="0"/>
    </w:pPr>
  </w:style>
  <w:style w:type="paragraph" w:styleId="881">
    <w:name w:val="toc 9"/>
    <w:basedOn w:val="817"/>
    <w:uiPriority w:val="39"/>
    <w:unhideWhenUsed/>
    <w:pPr>
      <w:spacing w:before="0" w:after="57"/>
      <w:ind w:left="2268" w:right="0" w:firstLine="0"/>
    </w:pPr>
  </w:style>
  <w:style w:type="paragraph" w:styleId="882">
    <w:name w:val="TOC Heading"/>
    <w:uiPriority w:val="39"/>
    <w:unhideWhenUsed/>
    <w:qFormat/>
    <w:pPr>
      <w:widowControl/>
      <w:spacing w:before="0" w:beforeAutospacing="0" w:after="200" w:afterAutospacing="0" w:line="276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83">
    <w:name w:val="table of figures"/>
    <w:basedOn w:val="817"/>
    <w:uiPriority w:val="99"/>
    <w:unhideWhenUsed/>
    <w:qFormat/>
    <w:pPr>
      <w:spacing w:before="0" w:after="0" w:afterAutospacing="0"/>
    </w:pPr>
  </w:style>
  <w:style w:type="paragraph" w:styleId="884">
    <w:name w:val="Balloon Text"/>
    <w:basedOn w:val="817"/>
    <w:uiPriority w:val="99"/>
    <w:semiHidden/>
    <w:qFormat/>
    <w:pPr>
      <w:spacing w:before="0" w:after="0" w:line="240" w:lineRule="auto"/>
      <w:jc w:val="both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885">
    <w:name w:val="Верхний и нижний колонтитулы"/>
    <w:basedOn w:val="817"/>
    <w:qFormat/>
  </w:style>
  <w:style w:type="paragraph" w:styleId="886">
    <w:name w:val="Header"/>
    <w:basedOn w:val="817"/>
    <w:uiPriority w:val="99"/>
    <w:pPr>
      <w:tabs>
        <w:tab w:val="clear" w:pos="708" w:leader="none"/>
        <w:tab w:val="center" w:pos="4536" w:leader="none"/>
        <w:tab w:val="right" w:pos="9072" w:leader="none"/>
      </w:tabs>
      <w:spacing w:before="0"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>
    <w:name w:val="Footer"/>
    <w:basedOn w:val="817"/>
    <w:uiPriority w:val="99"/>
    <w:pPr>
      <w:tabs>
        <w:tab w:val="clear" w:pos="708" w:leader="none"/>
        <w:tab w:val="center" w:pos="4153" w:leader="none"/>
        <w:tab w:val="right" w:pos="8306" w:leader="none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8" w:customStyle="1">
    <w:name w:val="ConsPlusNormal"/>
    <w:qFormat/>
    <w:pPr>
      <w:widowControl w:val="off"/>
      <w:spacing w:before="0" w:beforeAutospacing="0" w:after="0" w:afterAutospacing="0" w:line="240" w:lineRule="auto"/>
      <w:ind w:firstLine="720"/>
      <w:jc w:val="both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89" w:customStyle="1">
    <w:name w:val="ConsPlusNonformat"/>
    <w:uiPriority w:val="99"/>
    <w:qFormat/>
    <w:pPr>
      <w:widowControl/>
      <w:spacing w:before="0" w:beforeAutospacing="0" w:after="0" w:afterAutospacing="0" w:line="240" w:lineRule="auto"/>
      <w:jc w:val="both"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ru-RU" w:bidi="ar-SA"/>
    </w:rPr>
  </w:style>
  <w:style w:type="paragraph" w:styleId="890">
    <w:name w:val="Body Text Indent"/>
    <w:basedOn w:val="817"/>
    <w:uiPriority w:val="99"/>
    <w:unhideWhenUsed/>
    <w:pPr>
      <w:spacing w:before="0" w:after="120"/>
      <w:ind w:left="283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891">
    <w:name w:val="toc 2"/>
    <w:basedOn w:val="817"/>
    <w:pPr>
      <w:ind w:left="220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892">
    <w:name w:val="toc 1"/>
    <w:basedOn w:val="817"/>
    <w:pPr>
      <w:jc w:val="both"/>
    </w:pPr>
    <w:rPr>
      <w:rFonts w:ascii="Calibri" w:hAnsi="Calibri" w:eastAsia="Times New Roman" w:cs="Times New Roman"/>
      <w:lang w:eastAsia="ru-RU"/>
    </w:rPr>
  </w:style>
  <w:style w:type="paragraph" w:styleId="893">
    <w:name w:val="Normal (Web)"/>
    <w:basedOn w:val="81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Абзац списка1"/>
    <w:basedOn w:val="817"/>
    <w:uiPriority w:val="34"/>
    <w:qFormat/>
    <w:pPr>
      <w:spacing w:before="0" w:after="160" w:line="259" w:lineRule="auto"/>
      <w:ind w:left="720" w:firstLine="0"/>
      <w:contextualSpacing/>
    </w:pPr>
    <w:rPr>
      <w:rFonts w:ascii="Calibri" w:hAnsi="Calibri" w:eastAsia="Calibri" w:cs="Times New Roman"/>
    </w:rPr>
  </w:style>
  <w:style w:type="paragraph" w:styleId="895" w:customStyle="1">
    <w:name w:val="Без интервала1"/>
    <w:uiPriority w:val="1"/>
    <w:qFormat/>
    <w:pPr>
      <w:widowControl/>
      <w:spacing w:before="0" w:beforeAutospacing="0" w:after="0" w:afterAutospacing="0" w:line="240" w:lineRule="auto"/>
      <w:jc w:val="both"/>
    </w:pPr>
    <w:rPr>
      <w:rFonts w:ascii="Times New Roman" w:hAnsi="Times New Roman" w:eastAsia="Calibri" w:cs="Times New Roman" w:eastAsiaTheme="minorHAnsi"/>
      <w:color w:val="auto"/>
      <w:sz w:val="28"/>
      <w:szCs w:val="22"/>
      <w:lang w:val="ru-RU" w:eastAsia="en-US" w:bidi="ar-SA"/>
    </w:rPr>
  </w:style>
  <w:style w:type="paragraph" w:styleId="896">
    <w:name w:val="List Paragraph"/>
    <w:basedOn w:val="817"/>
    <w:uiPriority w:val="34"/>
    <w:qFormat/>
    <w:pPr>
      <w:ind w:left="708" w:firstLine="0"/>
      <w:jc w:val="both"/>
    </w:pPr>
    <w:rPr>
      <w:rFonts w:ascii="Calibri" w:hAnsi="Calibri" w:eastAsia="Times New Roman" w:cs="Times New Roman"/>
      <w:lang w:eastAsia="ru-RU"/>
    </w:rPr>
  </w:style>
  <w:style w:type="paragraph" w:styleId="897">
    <w:name w:val="No Spacing"/>
    <w:uiPriority w:val="1"/>
    <w:qFormat/>
    <w:pPr>
      <w:widowControl/>
      <w:spacing w:before="0" w:beforeAutospacing="0" w:after="0" w:afterAutospacing="0" w:line="240" w:lineRule="auto"/>
      <w:jc w:val="both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898">
    <w:name w:val="annotation text"/>
    <w:basedOn w:val="817"/>
    <w:uiPriority w:val="99"/>
    <w:semiHidden/>
    <w:unhideWhenUsed/>
    <w:qFormat/>
    <w:pPr>
      <w:spacing w:line="240" w:lineRule="auto"/>
      <w:jc w:val="both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899">
    <w:name w:val="annotation subject"/>
    <w:basedOn w:val="898"/>
    <w:uiPriority w:val="99"/>
    <w:semiHidden/>
    <w:unhideWhenUsed/>
    <w:qFormat/>
    <w:rPr>
      <w:b/>
      <w:bCs/>
    </w:rPr>
  </w:style>
  <w:style w:type="numbering" w:styleId="900" w:default="1">
    <w:name w:val="No List"/>
    <w:uiPriority w:val="99"/>
    <w:semiHidden/>
    <w:unhideWhenUsed/>
    <w:qFormat/>
  </w:style>
  <w:style w:type="numbering" w:styleId="901" w:customStyle="1">
    <w:name w:val="Нет списка1"/>
    <w:uiPriority w:val="99"/>
    <w:semiHidden/>
    <w:unhideWhenUsed/>
    <w:qFormat/>
  </w:style>
  <w:style w:type="numbering" w:styleId="902" w:customStyle="1">
    <w:name w:val="Нет списка11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hyperlink" Target="http://mtsr.nso.ru/sites/mtsr.nso.ru/wodby_files/files/page_8306/postanovlenie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9E-68BB-48FC-A4BC-C9A12D6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dc:description/>
  <dc:language>ru-RU</dc:language>
  <cp:revision>70</cp:revision>
  <dcterms:created xsi:type="dcterms:W3CDTF">2022-05-04T09:57:00Z</dcterms:created>
  <dcterms:modified xsi:type="dcterms:W3CDTF">2025-04-14T04:59:02Z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