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3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715"/>
      </w:tblGrid>
      <w:tr>
        <w:tblPrEx/>
        <w:trPr>
          <w:trHeight w:val="2698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6pt;height:51.1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6312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82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87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г. Новосибирск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74"/>
        <w:ind w:right="-142"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приказ министерства труда и социального развития Новосибирской области от 03.12.2024 № 2604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jc w:val="center"/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jc w:val="center"/>
        <w:rPr>
          <w:highlight w:val="white"/>
        </w:rPr>
      </w:pPr>
      <w:r>
        <w:rPr>
          <w:szCs w:val="28"/>
          <w:highlight w:val="white"/>
          <w:lang w:val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spacing w:after="0" w:line="283" w:lineRule="atLeast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Федеральным законом от 31.07.2020 № 248-ФЗ «О государственном контроле (надзоре) и муниципальном контроле в Российской Федерации»,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white"/>
        </w:rPr>
        <w:t xml:space="preserve">Положением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Calibri"/>
          <w:sz w:val="28"/>
          <w:szCs w:val="28"/>
        </w:rPr>
        <w:t xml:space="preserve"> 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Calibri"/>
          <w:sz w:val="28"/>
          <w:szCs w:val="28"/>
        </w:rPr>
        <w:t xml:space="preserve">, утвержденным </w:t>
      </w:r>
      <w:r>
        <w:rPr>
          <w:rFonts w:ascii="Times New Roman" w:hAnsi="Times New Roman" w:eastAsia="Calibri"/>
          <w:sz w:val="28"/>
          <w:szCs w:val="28"/>
        </w:rPr>
        <w:t xml:space="preserve">постановлением Правительства Новоси</w:t>
      </w:r>
      <w:r>
        <w:rPr>
          <w:rFonts w:ascii="Times New Roman" w:hAnsi="Times New Roman" w:eastAsia="Calibri"/>
          <w:sz w:val="28"/>
          <w:szCs w:val="28"/>
        </w:rPr>
        <w:t xml:space="preserve">бирской области от 20.09.2021 № </w:t>
      </w:r>
      <w:r>
        <w:rPr>
          <w:rFonts w:ascii="Times New Roman" w:hAnsi="Times New Roman" w:eastAsia="Calibri"/>
          <w:sz w:val="28"/>
          <w:szCs w:val="28"/>
        </w:rPr>
        <w:t xml:space="preserve">362-п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«Об утверждении Поло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жения о регионально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spacing w:after="0" w:line="283" w:lineRule="atLeast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spacing w:after="0" w:line="283" w:lineRule="atLeas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74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ind w:firstLine="708"/>
        <w:jc w:val="both"/>
        <w:spacing w:after="0" w:line="28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нести в приказ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министерства труда и социального развития Новосибирской области от 03.12.2024 № 2604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</w:t>
      </w:r>
      <w:r>
        <w:rPr>
          <w:rFonts w:ascii="Times New Roman" w:hAnsi="Times New Roman"/>
          <w:sz w:val="28"/>
          <w:szCs w:val="28"/>
        </w:rPr>
        <w:t xml:space="preserve">охраняемы</w:t>
      </w:r>
      <w:r>
        <w:rPr>
          <w:rFonts w:ascii="Times New Roman" w:hAnsi="Times New Roman"/>
          <w:sz w:val="28"/>
          <w:szCs w:val="28"/>
        </w:rPr>
        <w:t xml:space="preserve">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2025 год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програм</w:t>
      </w:r>
      <w:r>
        <w:rPr>
          <w:rFonts w:ascii="Times New Roman" w:hAnsi="Times New Roman"/>
          <w:sz w:val="28"/>
          <w:szCs w:val="28"/>
          <w:highlight w:val="white"/>
        </w:rPr>
        <w:t xml:space="preserve">ме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2025 год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spacing w:after="0" w:line="283" w:lineRule="atLeast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1. Пункт 1 дополнить абзацами следующего содержания: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ind w:firstLine="709"/>
        <w:spacing w:after="0" w:line="283" w:lineRule="atLeast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«Программа направлена на достижение следующих основных целей: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ind w:firstLine="708"/>
        <w:spacing w:after="0" w:line="283" w:lineRule="atLeast"/>
        <w:rPr>
          <w:rFonts w:ascii="Times New Roman" w:hAnsi="Times New Roman" w:eastAsia="Calibri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  <w:t xml:space="preserve">1) 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</w: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</w:r>
    </w:p>
    <w:p>
      <w:pPr>
        <w:ind w:firstLine="708"/>
        <w:spacing w:after="0" w:line="283" w:lineRule="atLeast"/>
        <w:rPr>
          <w:rFonts w:ascii="Times New Roman" w:hAnsi="Times New Roman" w:eastAsia="Calibri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</w: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</w:r>
    </w:p>
    <w:p>
      <w:pPr>
        <w:ind w:firstLine="708"/>
        <w:spacing w:after="0" w:line="283" w:lineRule="atLeast"/>
        <w:rPr>
          <w:rFonts w:ascii="Times New Roman" w:hAnsi="Times New Roman" w:eastAsia="Calibri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  <w:t xml:space="preserve">3) 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Calibri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Calib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Calibri"/>
          <w:color w:val="auto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. В пункте 20: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ind w:firstLine="709"/>
        <w:spacing w:after="0" w:line="283" w:lineRule="atLeast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) после абзаца тринадцатого дополнить абзацами следующего содержания: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pStyle w:val="893"/>
        <w:ind w:firstLine="709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тролируемых лиц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ind w:firstLine="709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При определении критериев риска оценка добросовестности контролируемых лиц проводится с учетом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отсутствия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пяти лет.».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лнить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пунктом 20.1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«20.1. По результатам анализа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текущего состояния осуществления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регионального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установлено, что на 31 декабря 2024 года в Новосибирской области осуществляли деятельность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66 объектов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регионального контроля (надзора),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которые отнесены к категории низкого риска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31 декабря 2023 в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существляли деятельность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62 объекта регионального контроля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(надзора),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относящиеся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к категории низкого риска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целях недопущения нарушений обязательных требований контрольным органом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без взаимодействия с контролируемыми лицами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проводится работа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 контролю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за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соблюдением контролируемыми лицами, соде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ржащимися в реестре, требований к достоверности, актуальности и полноте сведений о них, представляемых для включения в реестр.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В 2024 году проведено 30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2023 году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- 60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) профилактических мероприятий без взаимодействия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контролируемыми лицами. Предостережения о недопустимости нарушения обязательных требований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контролируемым лицам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не выносились.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Уменьшение проведения профилактических мероприятий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без взаимодействия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контролируемыми лицами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связано с соблюдением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контролируемыми лицами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обязательных требований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Контрольным органом ежемесячно осуществляются мероприятия по контролю за предоставлением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сведений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обязательных требованиях,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предоставляемых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контролируемыми лицами, соде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ржащимися в реестре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Ежегодно охват контролируемых лиц, предоставляемых сведен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обязательных требованиях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для включения в реестр, составляет 100 %.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2025 году профилактическими мероприятиями будут охвачены около 50 % всех контролируемых лиц.».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 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одпунктом 6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«6) самообследование.»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spacing w:after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Пункты 28 - 31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«28.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Профилактический визит проводится по инициативе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контрольного органа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(обязательный профилактический визит) или по инициативе контролируемого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лица.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Продолжительность профилактического визита по инициативе контролируемого лица не может превышать двух часов в течение одного рабочего дня. Срок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роведения обязательного профилактического визита не может превышать десять рабочих дней и может быть про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длен на срок, необходимый для проведения экспертизы, испытаний.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ходе про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филактического визита контролируемое лицо информируется об обязательных требованиях, предъявляемых к его деятельности либо к принадлежащим ему объектам контроля, их соответствии критериям риска, о рекомендуемых способах снижения категории риска, видах, сод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ержании и об 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необходимых для отнесен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Обязательный профилактический визит проводится в случаях, установленных статьей 52.1 Федерального закона № 248-ФЗ.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Обязательный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филактический визит не предусматривает отказ контролируемого лица от его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3"/>
        <w:ind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отношении контролируемых лиц, отнесенных к категории среднего или умеренного риска, обязательные профилактические визиты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проводятся в соответствии с пунктом 3 части 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статьи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25 Федерального закона № 248-ФЗ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709"/>
        <w:jc w:val="both"/>
        <w:spacing w:line="283" w:lineRule="atLeas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объектов государственного контроля (надзора), отнесенных к категории низкого риска,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обязательные профилактические 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проводятся.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рамках обязательного профилактического визита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может проводиться осмотр, истребование необходимых документов,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  <w:highlight w:val="white"/>
        </w:rPr>
        <w:t xml:space="preserve">отбор проб (образцов), инструментальное обследование, испытание, экспертизу.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окончании проведения обязательного профила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ктического визита составляется акт о проведении обязательного профилактического визита (далее также 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акт обязательного профилактического визита) в порядке, предусмотренном статьей 90 Федерального закона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№ 248-ФЗ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для контрольных (надзорных) мероприятий.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Контролируемое лицо или его представитель знакомится с содержанием акта обязательного профилактического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визита в порядке, предусмотренн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ом статьей 88 Федерального закона № 248-ФЗ для контрольных (надзорных) мероприятий.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2024 (2023) году обязательные профилактические визиты 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проводились контрольным органом в отношении</w:t>
      </w:r>
      <w:r>
        <w:rPr>
          <w:b w:val="0"/>
          <w:bCs w:val="0"/>
          <w:color w:val="auto"/>
          <w:highlight w:val="white"/>
        </w:rPr>
        <w:t xml:space="preserve"> 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контролируемых лиц, приступающих к осуществлению деятельности в сфере организации отдыха и оздоровления детей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, в соответствии 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графиками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обязательных профилактических визитов, запланированных к проведению в соответствии с частью 4 статьи 52 Федерального закона от 31.07.2023 № 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2024 (2023) году(далее – график),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утвержденными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Программами 2024 (2023)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709"/>
        <w:spacing w:after="0" w:line="283" w:lineRule="atLeast"/>
        <w:tabs>
          <w:tab w:val="left" w:pos="567" w:leader="none"/>
        </w:tabs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соответствии графиками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2024 (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2023)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год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</w:rPr>
        <w:t xml:space="preserve">проведены 3 обязательных профилактических визита в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  <w:t xml:space="preserve"> 2024 году 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</w:rPr>
        <w:t xml:space="preserve">6 обязательных профилактических визитов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  <w:t xml:space="preserve"> 2023 году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74"/>
        <w:ind w:firstLine="709"/>
        <w:spacing w:after="0" w:line="283" w:lineRule="atLeast"/>
        <w:tabs>
          <w:tab w:val="left" w:pos="567" w:leader="none"/>
        </w:tabs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Перечень контролируемых лиц, в отношении которых проводились  обязательные профилактические визиты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white"/>
        </w:rPr>
        <w:t xml:space="preserve"> формировался на основании приказов контрольного органа о включении организаций отдыха детей и их оздоровления в реестр.</w:t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30.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Профилактический визит по инициативе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контролируемого лица может быть проведен по его заявлению, если контролируемое лицо относится к 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онтролируемое лицо подает заявление о проведении профилактического визита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инициативе контролируемого лица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(далее – заявление) посредством единого портала государственных и муниципальных услуг или регионального портала государственных и муниципальных усл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уг. Контрольный орган рассматривает заявление в течение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десяти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ind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принятия решения о проведении профилактич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еского визита контрольный орган в течение 20 рабочих дней согласовывает дату его проведения с 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Решение об отказе в проведении профилактического визита принимается в следу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ющих случаях: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 контролируемого лица поступило уведомление об отзыве заявления;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течение года до даты подачи заявления контрольным органом проведен профилактический визит по ранее подан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ному заявлению;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Решение об отказе в проведении профилактического визита может быть обжаловано контролируе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мым лицом в порядке, установленном Федеральным законом № 248-ФЗ.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 позднее чем за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пяти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рабочих дней до даты его провед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ения.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Предписания об устранении выявленных в ходе профилактического визита по инициативе контролируемого лица нарушений обязательных требований контролируемым лицам не могут выдаваться.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</w:r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случае, если при проведении профилактическ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 визита по инициативе контролируемого лица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незамедлительно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направляет информацию об этом министру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для принятия решения о проведении контрольных (надзорных) мероприятий.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пунктом 52.1 Положения,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утвержденного постановлением № 362-п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контролируемые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лица с заявлениями о проведении в отношении них профилактического визита в контрольный орган в 2024, 2023 годах не обращалис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ь.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ополнить пунктом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31.1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«31.1.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целях добровольного определения контролируемыми лицами уровня соблюдения ими обязательных требований контролируемым лицом осущ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ествляется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Самообследование осуществляется в автоматизированном режиме с использованием одного из способов, указанных на официальном сайте министерства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 может касаться как контролируемого лица в целом, так и его обособленных подразделений, иных объектов. Контролируемое лицо должно иметь возможность осуществить самообследование без идентификации пользователя.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Министерство утверждает методические рекомендации по проведению самообследования и размещает их на официальном сайте министерства в сети «Интернет»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93"/>
        <w:jc w:val="both"/>
        <w:spacing w:line="283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Раздел V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93"/>
        <w:jc w:val="center"/>
        <w:spacing w:line="283" w:lineRule="atLeast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 xml:space="preserve">V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Показатели результативности и эф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фективности Программы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874"/>
        <w:ind w:right="-2" w:firstLine="709"/>
        <w:jc w:val="left"/>
        <w:spacing w:after="0" w:line="283" w:lineRule="atLeast"/>
        <w:tabs>
          <w:tab w:val="left" w:pos="567" w:leader="none"/>
        </w:tabs>
        <w:rPr>
          <w:rFonts w:ascii="Times New Roman" w:hAnsi="Times New Roman" w:eastAsia="Calibri"/>
          <w:highlight w:val="white"/>
        </w:rPr>
      </w:pPr>
      <w:r>
        <w:rPr>
          <w:rFonts w:ascii="Times New Roman" w:hAnsi="Times New Roman" w:eastAsia="Calibri"/>
          <w:highlight w:val="white"/>
          <w:lang w:eastAsia="en-US"/>
        </w:rPr>
      </w:r>
      <w:r>
        <w:rPr>
          <w:rFonts w:ascii="Times New Roman" w:hAnsi="Times New Roman" w:eastAsia="Calibri"/>
          <w:highlight w:val="white"/>
        </w:rPr>
      </w:r>
      <w:r>
        <w:rPr>
          <w:rFonts w:ascii="Times New Roman" w:hAnsi="Times New Roman" w:eastAsia="Calibri"/>
          <w:highlight w:val="white"/>
        </w:rPr>
      </w:r>
    </w:p>
    <w:tbl>
      <w:tblPr>
        <w:tblW w:w="1034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2409"/>
        <w:gridCol w:w="709"/>
        <w:gridCol w:w="709"/>
        <w:gridCol w:w="850"/>
      </w:tblGrid>
      <w:tr>
        <w:tblPrEx/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№ п/п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Профилактическое мероприятие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Единица измерения (процент)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Целевое значение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 показателя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226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Прогнозное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значение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  <w:t xml:space="preserve">показателя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2025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2026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2027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Соблюдение контролируемыми лицами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 требований к достоверности, актуальности и полноте сведений о них, представляемых для включения в реестр (обязательных требований)</w:t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процент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100% Соблюдение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обязательных требований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  <w:t xml:space="preserve">Обеспечение охвата контролируемых лиц профилактическим мероприятиями в рамках осуществления регионального контроля (надзора)</w:t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процент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50%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Доля охвата контролируемых лиц профилактическими менроприятиями от числа всех контролируемых лиц (фактический показатель на 31.12.2024 - 45,5%)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50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55%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60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  <w:t xml:space="preserve">Выполнение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контролируемыми лицами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требований к достоверности, актуальности и полноте сведений о них, представляемых для включения в реестр (обязательных требований)</w:t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процент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Доля предоставленных контролируемыми лицами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достоверных, актуальных и полных сведений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(обязательных требований)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  <w:t xml:space="preserve">о них, для включения в реестр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(фактический показатель на 31.12.2024 - 100%)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100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%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both"/>
              <w:spacing w:after="0" w:line="283" w:lineRule="atLeast"/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  <w:lang w:eastAsia="en-US"/>
              </w:rPr>
            </w:r>
          </w:p>
        </w:tc>
      </w:tr>
    </w:tbl>
    <w:p>
      <w:pPr>
        <w:ind w:right="-2" w:firstLine="0"/>
        <w:spacing w:after="0" w:line="283" w:lineRule="atLeast"/>
        <w:tabs>
          <w:tab w:val="left" w:pos="567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74"/>
        <w:ind w:right="-2" w:firstLine="709"/>
        <w:spacing w:after="0" w:line="283" w:lineRule="atLeast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32</w:t>
      </w:r>
      <w:r>
        <w:rPr>
          <w:rFonts w:ascii="Times New Roman" w:hAnsi="Times New Roman"/>
          <w:sz w:val="28"/>
          <w:szCs w:val="28"/>
          <w:highlight w:val="white"/>
        </w:rPr>
        <w:t xml:space="preserve">. Проведение профилактических мероприятий направленно на побуждение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контролируемых лиц к соблюдению обязательных требований законодательства при организации отдыха детей и их оздоровления и в свою очередь должно способствовать снижению количества выявляемых нарушений обязательных требований в указанной сфере деятельности.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ind w:right="-2" w:firstLine="709"/>
        <w:spacing w:after="0" w:line="283" w:lineRule="atLeast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решения этой задачи контрольным органом в 2024 году осуществлялось информирование контролируемых лиц о недопустимости нарушений обязательных требований законодательства и о мерах административной ответственности за допущенные нарушения.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ind w:right="-2" w:firstLine="709"/>
        <w:spacing w:after="0" w:line="283" w:lineRule="atLeast"/>
        <w:tabs>
          <w:tab w:val="left" w:pos="567" w:leader="none"/>
        </w:tabs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Указанная работа проводилась путем проведения публичных мероприятий по обзору правоприменительной деятельности, проведения консультирования, размещения информационных материалов на официальном сайте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контрольного орган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а. Кроме того, должностные лица регионального контроля (надзора) принимали участие в форумах, совещаниях, в том числе освещаемых средствами массовой информации. Работа, в рамках профилактических мероприятий, будет продолжена в 2025 году.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right="-2" w:firstLine="709"/>
        <w:spacing w:after="0" w:line="283" w:lineRule="atLeast"/>
        <w:tabs>
          <w:tab w:val="left" w:pos="567" w:leader="none"/>
        </w:tabs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Оценка эффективности и результативности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рограммы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 профилактики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 осуществляется по итогам календарного года посредством анализа выполнения плана профилактических мероприятий, направленных на предупреждение нарушений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контролируемыми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лицами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обязательных требований, и отчетных показателей выполнения мероприятий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рограммы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874"/>
        <w:ind w:right="-2" w:firstLine="709"/>
        <w:spacing w:after="0" w:line="283" w:lineRule="atLeast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US"/>
        </w:rPr>
        <w:t xml:space="preserve">Результаты оценки эффективности и результативности профилактических мероприятий отражаются в </w:t>
      </w:r>
      <w:r>
        <w:rPr>
          <w:rFonts w:ascii="Times New Roman" w:hAnsi="Times New Roman" w:eastAsia="Calibri"/>
          <w:color w:val="000000" w:themeColor="text1"/>
          <w:sz w:val="28"/>
          <w:szCs w:val="28"/>
          <w:highlight w:val="white"/>
        </w:rPr>
        <w:t xml:space="preserve">докладе о прав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оприменительной практике</w:t>
      </w:r>
      <w:r>
        <w:rPr>
          <w:rFonts w:ascii="Times New Roman" w:hAnsi="Times New Roman"/>
          <w:sz w:val="28"/>
          <w:szCs w:val="28"/>
          <w:highlight w:val="white"/>
        </w:rPr>
        <w:t xml:space="preserve"> и размещаются на официальном сайте контрольного органа в разделе «Деятельность/Контрольно-надзорная деятельность/Оценка результативности и эффективности контрольно-надзорной деятельности».».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Приложение № 2 изложить в редакции согласно приложению к настоящему Приказу.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Приложение № 3 к программе профилактики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right="-2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right="-2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right="-2"/>
        <w:jc w:val="right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Е.В. </w:t>
      </w:r>
      <w:r>
        <w:rPr>
          <w:rFonts w:ascii="Times New Roman" w:hAnsi="Times New Roman"/>
          <w:sz w:val="28"/>
          <w:szCs w:val="28"/>
          <w:highlight w:val="none"/>
        </w:rPr>
        <w:t xml:space="preserve">Бахарева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ind w:right="43"/>
        <w:spacing w:after="0" w:line="283" w:lineRule="atLeas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hd w:val="nil"/>
        <w:rPr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  <w:br w:type="page" w:clear="all"/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left="10488" w:right="0" w:firstLine="0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ПРИЛОЖЕНИЕ № 2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ind w:left="0" w:right="0" w:firstLine="0"/>
        <w:jc w:val="right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к Программе профилактики рисков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ind w:left="10488" w:right="0" w:firstLine="0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причинения вреда (ущерба)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ind w:left="0" w:right="0" w:firstLine="0"/>
        <w:jc w:val="right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охраняемым законом ценностям при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74"/>
        <w:ind w:left="10488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осуществлении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регионального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контроля (надзора) 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за достоверностью, актуальностью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10488" w:righ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 полнотой </w:t>
      </w:r>
      <w:r>
        <w:rPr>
          <w:rFonts w:ascii="Times New Roman" w:hAnsi="Times New Roman"/>
          <w:sz w:val="28"/>
          <w:szCs w:val="28"/>
          <w:highlight w:val="white"/>
        </w:rPr>
        <w:t xml:space="preserve">сведений об организациях отдыха и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ind w:left="0" w:right="0" w:firstLine="0"/>
        <w:jc w:val="right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оздоровления детей, содержащихся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0"/>
        <w:jc w:val="right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реестре </w:t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организаций отдыха детей и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0"/>
        <w:jc w:val="right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их оздоровления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, на 2025 год</w:t>
      </w:r>
      <w:r/>
      <w:r/>
    </w:p>
    <w:p>
      <w:pPr>
        <w:pStyle w:val="874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4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ПЛАН-ГРАФИК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74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проведения профилактических мероприятий при осуществлении регионального контроля (надзора)</w:t>
      </w:r>
      <w:r>
        <w:rPr>
          <w:b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за достоверностью, актуальностью и полнотой сведений об организациях отдыха и оздоровления детей, содержащихся в реестре организаций отдыха детей и их оздоровления,</w:t>
      </w:r>
      <w:r>
        <w:rPr>
          <w:rFonts w:ascii="Times New Roman" w:hAnsi="Times New Roman" w:eastAsia="Calibri"/>
          <w:b/>
          <w:sz w:val="28"/>
          <w:szCs w:val="28"/>
          <w:highlight w:val="white"/>
          <w:lang w:eastAsia="en-US"/>
        </w:rPr>
        <w:t xml:space="preserve"> на 2025</w:t>
      </w:r>
      <w:r>
        <w:rPr>
          <w:rFonts w:ascii="Times New Roman" w:hAnsi="Times New Roman" w:eastAsia="Calibri"/>
          <w:b/>
          <w:sz w:val="28"/>
          <w:szCs w:val="28"/>
          <w:highlight w:val="white"/>
          <w:lang w:eastAsia="en-US"/>
        </w:rPr>
        <w:t xml:space="preserve"> год</w:t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left"/>
        <w:spacing w:after="0" w:line="240" w:lineRule="auto"/>
        <w:tabs>
          <w:tab w:val="left" w:pos="567" w:leader="none"/>
        </w:tabs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2514"/>
        <w:gridCol w:w="5796"/>
        <w:gridCol w:w="3969"/>
        <w:gridCol w:w="241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Вид мероприятия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ind w:firstLine="36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Форма мероприятия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Структурное подразделение, ответственное за реализацию мероприятия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Сроки (периодичность) проведения мероприятия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ind w:firstLine="8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Информирование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соответствии со статьей 46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31.07.2020 №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(далее - Федеральный закон №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248-ФЗ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размещение перечня правовых актов, содержащих обязательные требования на официальном сайте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контрольного органа* в информационно-телекоммуникационной сети «Интернет»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 разделе «Контрольно-надзорная деятельность» (далее – официальный сайт), в средствах массовой информации и в иных 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управления семейной политики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защиты прав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По мере принятия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vMerge w:val="continue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ind w:firstLine="8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white"/>
              </w:rPr>
              <w:t xml:space="preserve">и защиты правд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 раз в 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vMerge w:val="continue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ind w:firstLine="8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Информирование контролируемых лиц** об изменениях, вносимых в действующие нормативные правовые акты, устанавливающие обязательные требования, сроках и порядке вступления их в действие, путем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подготовки и размещения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Не позднее трех рабочих дней со дня внесения изменений в нормативные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textDirection w:val="lrTb"/>
            <w:noWrap w:val="false"/>
          </w:tcPr>
          <w:p>
            <w:pPr>
              <w:pStyle w:val="874"/>
              <w:ind w:firstLine="3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Обобщение и анализ правоприменительной практики регионального контроля (надзора) и размещение утвержденного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доклада о правоприменительной практике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на официальном сайте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срок, не превышающий 10 рабочих дней со дня его утверждения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Ежегодно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(не позднее 15 марта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Объявление предостережения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Объявление предостережений контролируемым лицам с целью принятия мер по обеспечению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 течение календарного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(при наличии оснований)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textDirection w:val="lrTb"/>
            <w:noWrap w:val="false"/>
          </w:tcPr>
          <w:p>
            <w:pPr>
              <w:pStyle w:val="874"/>
              <w:ind w:firstLine="3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Консультирование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Проведение консультирования в письменной форме, в устной форме – по телефону, посредством видео-конференц-связи, на личном приеме либо в ходе осуществления контрольного (надзорного)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 течение календарного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(при наличии оснований)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Профилактический визит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Профилактических визитов по инициативе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контрольного органа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(обязательный профилактический визит)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или по инициативе контролируемого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лица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**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 течение календарного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(при наличии оснований)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45" w:type="auto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4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Самообследование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9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контролируемыми лицами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самостоятельной оценки соблюдения обязательных требований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(самообследование)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в целях добровольного определения контролируемыми лицами уровня соблюдения ими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обязательных требований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отдел организации отдыха и оздоровления несовершеннолетних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управления семейной политики </w:t>
            </w: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и защиты прав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 течение календарного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74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(при наличии оснований)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74"/>
        <w:spacing w:after="0" w:line="240" w:lineRule="auto"/>
        <w:tabs>
          <w:tab w:val="left" w:pos="567" w:leader="none"/>
        </w:tabs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*Контрольный орган – министерство труда и социального развития Новосибирской области.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74"/>
        <w:spacing w:after="0" w:line="240" w:lineRule="auto"/>
        <w:tabs>
          <w:tab w:val="left" w:pos="567" w:leader="none"/>
        </w:tabs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**Контролируемые лица – организации отдыха дете</w:t>
      </w:r>
      <w:r>
        <w:rPr>
          <w:rFonts w:ascii="Times New Roman" w:hAnsi="Times New Roman"/>
          <w:sz w:val="22"/>
          <w:szCs w:val="22"/>
          <w:highlight w:val="white"/>
        </w:rPr>
        <w:t xml:space="preserve">й и их оздоровления, содержащиеся в реестре организаций отдыха детей и их оздоровления на территории Новосибирской области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*</w:t>
      </w:r>
      <w:r>
        <w:rPr>
          <w:rFonts w:ascii="Times New Roman" w:hAnsi="Times New Roman"/>
          <w:sz w:val="24"/>
          <w:szCs w:val="24"/>
          <w:highlight w:val="white"/>
        </w:rPr>
        <w:t xml:space="preserve">**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Обязательный профилактический визит проводится в случаях,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установленных статьей 52.1 Федерального закона № 248-ФЗ.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Обязательный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 профилактический визит не предусматривает отказ контролируемого лица от его проведения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*</w:t>
      </w:r>
      <w:r>
        <w:rPr>
          <w:rFonts w:ascii="Times New Roman" w:hAnsi="Times New Roman"/>
          <w:sz w:val="24"/>
          <w:szCs w:val="24"/>
          <w:highlight w:val="white"/>
        </w:rPr>
        <w:t xml:space="preserve">**</w:t>
      </w:r>
      <w:r>
        <w:rPr>
          <w:rFonts w:ascii="Times New Roman" w:hAnsi="Times New Roman"/>
          <w:sz w:val="24"/>
          <w:szCs w:val="24"/>
          <w:highlight w:val="white"/>
        </w:rPr>
        <w:t xml:space="preserve">*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Профилактический визит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по инициативе контролируемого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лица</w:t>
      </w:r>
      <w:r>
        <w:rPr>
          <w:rFonts w:ascii="Times New Roman" w:hAnsi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может быть проведен по его заявлению, если контролируемое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right"/>
        <w:spacing w:line="283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firstLine="0"/>
      <w:jc w:val="center"/>
      <w:tabs>
        <w:tab w:val="clear" w:pos="4536" w:leader="none"/>
      </w:tabs>
      <w:rPr>
        <w:lang w:val="ru-RU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  <w:r>
      <w:rPr>
        <w:lang w:val="ru-RU"/>
      </w:rPr>
    </w:r>
    <w:r>
      <w:rPr>
        <w:lang w:val="ru-RU"/>
      </w:rPr>
    </w:r>
  </w:p>
  <w:p>
    <w:pPr>
      <w:pStyle w:val="885"/>
      <w:jc w:val="left"/>
      <w:tabs>
        <w:tab w:val="center" w:pos="4960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jc w:val="both"/>
      <w:spacing w:after="200" w:line="276" w:lineRule="auto"/>
    </w:pPr>
    <w:rPr>
      <w:sz w:val="22"/>
      <w:szCs w:val="22"/>
      <w:lang w:val="ru-RU" w:eastAsia="ru-RU" w:bidi="ar-SA"/>
    </w:rPr>
  </w:style>
  <w:style w:type="paragraph" w:styleId="875">
    <w:name w:val="Заголовок 1"/>
    <w:basedOn w:val="874"/>
    <w:next w:val="874"/>
    <w:link w:val="898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76">
    <w:name w:val="Заголовок 2"/>
    <w:basedOn w:val="874"/>
    <w:next w:val="874"/>
    <w:link w:val="892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77">
    <w:name w:val="Заголовок 4"/>
    <w:basedOn w:val="874"/>
    <w:next w:val="874"/>
    <w:link w:val="88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en-US" w:eastAsia="en-US"/>
    </w:rPr>
  </w:style>
  <w:style w:type="character" w:styleId="878">
    <w:name w:val="Основной шрифт абзаца"/>
    <w:next w:val="878"/>
    <w:link w:val="874"/>
    <w:uiPriority w:val="1"/>
    <w:unhideWhenUsed/>
  </w:style>
  <w:style w:type="table" w:styleId="879">
    <w:name w:val="Обычная таблица"/>
    <w:next w:val="879"/>
    <w:link w:val="874"/>
    <w:uiPriority w:val="99"/>
    <w:semiHidden/>
    <w:unhideWhenUsed/>
    <w:tblPr/>
  </w:style>
  <w:style w:type="numbering" w:styleId="880">
    <w:name w:val="Нет списка"/>
    <w:next w:val="880"/>
    <w:link w:val="874"/>
    <w:uiPriority w:val="99"/>
    <w:semiHidden/>
    <w:unhideWhenUsed/>
  </w:style>
  <w:style w:type="paragraph" w:styleId="881">
    <w:name w:val="Текст выноски"/>
    <w:basedOn w:val="874"/>
    <w:next w:val="881"/>
    <w:link w:val="882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cs="Tahoma"/>
      <w:sz w:val="16"/>
      <w:szCs w:val="16"/>
    </w:rPr>
  </w:style>
  <w:style w:type="table" w:styleId="883">
    <w:name w:val="Сетка таблицы"/>
    <w:basedOn w:val="879"/>
    <w:next w:val="883"/>
    <w:link w:val="874"/>
    <w:uiPriority w:val="39"/>
    <w:tblPr/>
  </w:style>
  <w:style w:type="character" w:styleId="884">
    <w:name w:val="Гиперссылка"/>
    <w:next w:val="884"/>
    <w:link w:val="874"/>
    <w:uiPriority w:val="99"/>
    <w:rPr>
      <w:rFonts w:cs="Times New Roman"/>
      <w:color w:val="0000ff"/>
      <w:u w:val="single"/>
    </w:rPr>
  </w:style>
  <w:style w:type="paragraph" w:styleId="885">
    <w:name w:val="Верхний колонтитул,ВерхКолонтитул"/>
    <w:basedOn w:val="874"/>
    <w:next w:val="885"/>
    <w:link w:val="886"/>
    <w:uiPriority w:val="99"/>
    <w:pPr>
      <w:ind w:firstLine="709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0"/>
      <w:szCs w:val="20"/>
      <w:lang w:val="en-US" w:eastAsia="en-US"/>
    </w:rPr>
  </w:style>
  <w:style w:type="character" w:styleId="886">
    <w:name w:val="Верхний колонтитул Знак,ВерхКолонтитул Знак"/>
    <w:next w:val="886"/>
    <w:link w:val="885"/>
    <w:uiPriority w:val="99"/>
    <w:rPr>
      <w:rFonts w:ascii="Times New Roman" w:hAnsi="Times New Roman" w:cs="Times New Roman"/>
      <w:sz w:val="20"/>
      <w:szCs w:val="20"/>
    </w:rPr>
  </w:style>
  <w:style w:type="character" w:styleId="887">
    <w:name w:val="Заголовок 4 Знак"/>
    <w:next w:val="887"/>
    <w:link w:val="877"/>
    <w:rPr>
      <w:rFonts w:ascii="Times New Roman" w:hAnsi="Times New Roman"/>
      <w:sz w:val="28"/>
      <w:szCs w:val="20"/>
    </w:rPr>
  </w:style>
  <w:style w:type="paragraph" w:styleId="888">
    <w:name w:val="Основной текст"/>
    <w:basedOn w:val="874"/>
    <w:next w:val="888"/>
    <w:link w:val="889"/>
    <w:pPr>
      <w:spacing w:after="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889">
    <w:name w:val="Основной текст Знак"/>
    <w:next w:val="889"/>
    <w:link w:val="888"/>
    <w:rPr>
      <w:rFonts w:ascii="Times New Roman" w:hAnsi="Times New Roman"/>
      <w:sz w:val="28"/>
      <w:szCs w:val="20"/>
    </w:rPr>
  </w:style>
  <w:style w:type="paragraph" w:styleId="890">
    <w:name w:val="Нижний колонтитул"/>
    <w:basedOn w:val="874"/>
    <w:next w:val="890"/>
    <w:link w:val="891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  <w:lang w:val="en-US" w:eastAsia="en-US"/>
    </w:rPr>
  </w:style>
  <w:style w:type="character" w:styleId="891">
    <w:name w:val="Нижний колонтитул Знак"/>
    <w:next w:val="891"/>
    <w:link w:val="890"/>
    <w:rPr>
      <w:rFonts w:ascii="Times New Roman" w:hAnsi="Times New Roman"/>
      <w:sz w:val="28"/>
      <w:szCs w:val="20"/>
    </w:rPr>
  </w:style>
  <w:style w:type="character" w:styleId="892">
    <w:name w:val="Заголовок 2 Знак"/>
    <w:next w:val="892"/>
    <w:link w:val="876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3">
    <w:name w:val="ConsPlusNormal"/>
    <w:next w:val="893"/>
    <w:link w:val="874"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894">
    <w:name w:val="ConsPlusNonformat"/>
    <w:next w:val="894"/>
    <w:link w:val="874"/>
    <w:uiPriority w:val="99"/>
    <w:pPr>
      <w:jc w:val="both"/>
    </w:pPr>
    <w:rPr>
      <w:rFonts w:ascii="Courier New" w:hAnsi="Courier New" w:eastAsia="Calibri" w:cs="Courier New"/>
      <w:lang w:val="ru-RU" w:eastAsia="ru-RU" w:bidi="ar-SA"/>
    </w:rPr>
  </w:style>
  <w:style w:type="paragraph" w:styleId="895">
    <w:name w:val="Основной текст с отступом"/>
    <w:basedOn w:val="874"/>
    <w:next w:val="895"/>
    <w:link w:val="896"/>
    <w:uiPriority w:val="99"/>
    <w:unhideWhenUsed/>
    <w:pPr>
      <w:ind w:left="283"/>
      <w:spacing w:after="120"/>
    </w:pPr>
    <w:rPr>
      <w:lang w:val="en-US" w:eastAsia="en-US"/>
    </w:rPr>
  </w:style>
  <w:style w:type="character" w:styleId="896">
    <w:name w:val="Основной текст с отступом Знак"/>
    <w:next w:val="896"/>
    <w:link w:val="895"/>
    <w:uiPriority w:val="99"/>
    <w:rPr>
      <w:sz w:val="22"/>
      <w:szCs w:val="22"/>
    </w:rPr>
  </w:style>
  <w:style w:type="character" w:styleId="897">
    <w:name w:val="Строгий"/>
    <w:next w:val="897"/>
    <w:link w:val="874"/>
    <w:uiPriority w:val="22"/>
    <w:qFormat/>
    <w:rPr>
      <w:b/>
      <w:bCs/>
    </w:rPr>
  </w:style>
  <w:style w:type="character" w:styleId="898">
    <w:name w:val="Заголовок 1 Знак"/>
    <w:next w:val="898"/>
    <w:link w:val="875"/>
    <w:rPr>
      <w:rFonts w:ascii="Cambria" w:hAnsi="Cambria" w:eastAsia="Times New Roman" w:cs="Times New Roman"/>
      <w:b/>
      <w:bCs/>
      <w:sz w:val="32"/>
      <w:szCs w:val="32"/>
    </w:rPr>
  </w:style>
  <w:style w:type="paragraph" w:styleId="899">
    <w:name w:val="Оглавление 2"/>
    <w:basedOn w:val="874"/>
    <w:next w:val="874"/>
    <w:link w:val="874"/>
    <w:pPr>
      <w:ind w:left="220"/>
    </w:pPr>
  </w:style>
  <w:style w:type="paragraph" w:styleId="900">
    <w:name w:val="Оглавление 1"/>
    <w:basedOn w:val="874"/>
    <w:next w:val="874"/>
    <w:link w:val="874"/>
  </w:style>
  <w:style w:type="paragraph" w:styleId="901">
    <w:name w:val="Цветной список - Акцент 11"/>
    <w:basedOn w:val="874"/>
    <w:next w:val="901"/>
    <w:link w:val="874"/>
    <w:uiPriority w:val="34"/>
    <w:qFormat/>
    <w:pPr>
      <w:contextualSpacing/>
      <w:ind w:left="720"/>
      <w:jc w:val="left"/>
    </w:pPr>
    <w:rPr>
      <w:rFonts w:eastAsia="Calibri"/>
      <w:lang w:eastAsia="en-US"/>
    </w:rPr>
  </w:style>
  <w:style w:type="paragraph" w:styleId="902">
    <w:name w:val="Абзац списка"/>
    <w:basedOn w:val="874"/>
    <w:next w:val="902"/>
    <w:link w:val="874"/>
    <w:uiPriority w:val="34"/>
    <w:qFormat/>
    <w:pPr>
      <w:contextualSpacing/>
      <w:ind w:left="720"/>
      <w:jc w:val="left"/>
      <w:spacing w:after="0" w:line="240" w:lineRule="auto"/>
    </w:pPr>
    <w:rPr>
      <w:rFonts w:ascii="Times New Roman" w:hAnsi="Times New Roman"/>
      <w:sz w:val="16"/>
      <w:szCs w:val="16"/>
    </w:rPr>
  </w:style>
  <w:style w:type="paragraph" w:styleId="903">
    <w:name w:val="Обычный (веб)"/>
    <w:basedOn w:val="874"/>
    <w:next w:val="903"/>
    <w:link w:val="874"/>
    <w:uiPriority w:val="99"/>
    <w:semiHidden/>
    <w:unhideWhenUsed/>
    <w:pPr>
      <w:jc w:val="left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character" w:styleId="907" w:customStyle="1">
    <w:name w:val="Символ концевой сноски"/>
    <w:qFormat/>
  </w:style>
  <w:style w:type="character" w:styleId="908" w:customStyle="1">
    <w:name w:val="annotation reference"/>
    <w:basedOn w:val="702"/>
    <w:uiPriority w:val="99"/>
    <w:semiHidden/>
    <w:unhideWhenUsed/>
    <w:qFormat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42</cp:revision>
  <dcterms:created xsi:type="dcterms:W3CDTF">2023-09-18T05:14:00Z</dcterms:created>
  <dcterms:modified xsi:type="dcterms:W3CDTF">2025-04-30T07:28:39Z</dcterms:modified>
  <cp:version>917504</cp:version>
</cp:coreProperties>
</file>