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before="0" w:after="0" w:line="240" w:lineRule="auto"/>
        <w:ind w:left="595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0" allowOverlap="1">
                <wp:simplePos x="0" y="0"/>
                <wp:positionH relativeFrom="page">
                  <wp:posOffset>5400040</wp:posOffset>
                </wp:positionH>
                <wp:positionV relativeFrom="page">
                  <wp:posOffset>360045</wp:posOffset>
                </wp:positionV>
                <wp:extent cx="3110865" cy="252095"/>
                <wp:effectExtent l="0" t="0" r="0" b="0"/>
                <wp:wrapNone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3110865" cy="252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false;mso-position-horizontal-relative:page;margin-left:425.20pt;mso-position-horizontal:absolute;mso-position-vertical-relative:page;margin-top:28.35pt;mso-position-vertical:absolute;width:244.95pt;height:19.85pt;mso-wrap-distance-left:0.00pt;mso-wrap-distance-top:0.00pt;mso-wrap-distance-right:0.00pt;mso-wrap-distance-bottom:0.00pt;" stroked="false">
                <v:path textboxrect="0,0,0,0"/>
                <v:imagedata r:id="rId6" o:title=""/>
              </v:shape>
            </w:pict>
          </mc:Fallback>
        </mc:AlternateContent>
      </w:r>
      <w:r>
        <w:rPr>
          <w:rFonts w:ascii="Times New Roman" w:hAnsi="Times New Roman" w:cs="Times New Roman"/>
          <w:bCs/>
          <w:sz w:val="28"/>
          <w:szCs w:val="28"/>
        </w:rPr>
        <w:t xml:space="preserve">ПРИЛОЖЕНИЕ № 1</w:t>
      </w:r>
    </w:p>
    <w:p>
      <w:pPr>
        <w:pStyle w:val="Normal"/>
        <w:spacing w:before="0" w:after="0" w:line="240" w:lineRule="auto"/>
        <w:ind w:left="595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постановлению Правительства</w:t>
      </w:r>
    </w:p>
    <w:p>
      <w:pPr>
        <w:pStyle w:val="Normal"/>
        <w:spacing w:before="0" w:after="0" w:line="240" w:lineRule="auto"/>
        <w:ind w:left="595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</w:t>
      </w:r>
    </w:p>
    <w:p>
      <w:pPr>
        <w:pStyle w:val="Normal"/>
        <w:spacing w:before="0" w:after="0" w:line="240" w:lineRule="auto"/>
        <w:ind w:left="595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11.11.2025  № 522-п</w:t>
      </w:r>
      <w:bookmarkStart w:id="0" w:name="_GoBack"/>
      <w:bookmarkEnd w:id="0"/>
    </w:p>
    <w:p>
      <w:pPr>
        <w:pStyle w:val="Normal"/>
        <w:spacing w:before="0" w:after="0" w:line="240" w:lineRule="auto"/>
        <w:ind w:left="595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Normal"/>
        <w:spacing w:before="0" w:after="0" w:line="240" w:lineRule="auto"/>
        <w:ind w:left="595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Normal"/>
        <w:spacing w:before="0" w:after="0" w:line="240" w:lineRule="auto"/>
        <w:ind w:left="595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«УТВЕРЖДЕН</w:t>
      </w:r>
    </w:p>
    <w:p>
      <w:pPr>
        <w:pStyle w:val="Normal"/>
        <w:spacing w:before="0" w:after="0" w:line="240" w:lineRule="auto"/>
        <w:ind w:left="595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постановлением Правительства</w:t>
      </w:r>
    </w:p>
    <w:p>
      <w:pPr>
        <w:pStyle w:val="Normal"/>
        <w:spacing w:before="0" w:after="0" w:line="240" w:lineRule="auto"/>
        <w:ind w:left="595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</w:t>
      </w:r>
    </w:p>
    <w:p>
      <w:pPr>
        <w:pStyle w:val="Normal"/>
        <w:spacing w:before="0" w:after="0" w:line="240" w:lineRule="auto"/>
        <w:ind w:left="595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 20.09.2021  № 363-п</w:t>
      </w:r>
    </w:p>
    <w:p>
      <w:pPr>
        <w:pStyle w:val="Normal"/>
        <w:spacing w:before="0" w:after="0" w:line="240" w:lineRule="auto"/>
        <w:ind w:left="595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Normal"/>
        <w:spacing w:before="0"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Normal"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ПЕРЕЧЕНЬ</w:t>
      </w:r>
    </w:p>
    <w:p>
      <w:pPr>
        <w:pStyle w:val="Normal"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индикаторов риска нарушения обязательных требований для регионального государственного контроля (надзора) в сфере социального обслуживания</w:t>
      </w:r>
    </w:p>
    <w:p>
      <w:pPr>
        <w:pStyle w:val="Normal"/>
        <w:spacing w:before="0" w:after="0" w:line="240" w:lineRule="auto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 w:line="240" w:lineRule="auto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Style w:val="Normal"/>
        <w:shd w:val="clear" w:color="ffffff" w:themeColor="background1" w:fill="ffffff" w:themeFill="background1"/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осуществлении регионального государственного контроля (надзора) в сфере социального обслуживания устанавливаются следующие индикаторы риска нарушения обязательных требований:</w:t>
      </w:r>
    </w:p>
    <w:p>
      <w:pPr>
        <w:pStyle w:val="Normal"/>
        <w:shd w:val="clear" w:color="ffffff" w:themeColor="background1" w:fill="ffffff" w:themeFill="background1"/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 Снижение суммы набранных контролируемым лицом баллов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  результатам проведенной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предшествующем году независимой оценки качества оказания услуг организациями социального обслуживания на десять и  более баллов по сравнению с результатами предшествующей независимой оценки качества условий оказания услуг организациями социального обслуживания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</w:p>
    <w:p>
      <w:pPr>
        <w:pStyle w:val="Normal"/>
        <w:shd w:val="clear" w:color="ffffff" w:themeColor="background1" w:fill="ffffff" w:themeFill="background1"/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</w:t>
      </w:r>
      <w:r>
        <w:rPr>
          <w:rFonts w:ascii="Times New Roman" w:hAnsi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Выявление в ходе ежегодно проводимых министерством труда и социального развития Новосибирской области наблюдений за соблюдением обязательных требований (мониторинга безопасности) факта отсутствия обновления в течение двух календарных лет сведений о финансово-хозяйственной деятельности и (или) о тарифах на социальные услуги, размещаемых контролируемым лицом в соответствии с пунктом 2 статьи 13 Федерального закона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 28.12.2013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442-ФЗ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«Об основах социального обслуживания в 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контролируемого лица в информационно-телекоммуникационной сети «Интернет»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</w:p>
    <w:p>
      <w:pPr>
        <w:pStyle w:val="Normal"/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</w:t>
      </w:r>
      <w:r>
        <w:rPr>
          <w:rFonts w:ascii="Times New Roman" w:hAnsi="Times New Roman"/>
          <w:sz w:val="28"/>
          <w:szCs w:val="28"/>
          <w:highlight w:val="white"/>
        </w:rPr>
        <w:t xml:space="preserve">. 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ыявление несоответствия информации, размещенной контролируемым лицом на своем официальном сайте в информационно-телекоммуникационной сети «Интернет», сведениям, содержащимся в Реестре поставщиков социальных услуг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если несоответствия как минимум по одному виду сведений были зафиксированы в двух и более актах наблюдения за соблюдением обязательных требований.</w:t>
      </w:r>
    </w:p>
    <w:p>
      <w:pPr>
        <w:pStyle w:val="Normal"/>
        <w:spacing w:before="0"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Normal"/>
        <w:spacing w:before="0"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Normal"/>
        <w:spacing w:before="0"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Normal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_________».</w:t>
      </w:r>
    </w:p>
    <w:sectPr>
      <w:type w:val="nextPage"/>
      <w:pgSz w:w="11906" w:h="16838"/>
      <w:pgMar w:top="1134" w:right="567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imes New Roman">
    <w:panose1 w:val="02020603050405020304"/>
  </w:font>
  <w:font w:name="Microsoft YaHei">
    <w:panose1 w:val="020B0503020203020204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 w:val="true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Arial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pacing w:before="0" w:after="200" w:line="276" w:lineRule="auto"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</w:style>
  <w:style w:type="character" w:styleId="1" w:customStyle="1">
    <w:name w:val="Заголовок 1 Знак"/>
    <w:basedOn w:val="DefaultParagraphFont"/>
    <w:link w:val="Heading1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link w:val="Heading2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link w:val="Heading3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link w:val="Heading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link w:val="Heading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link w:val="Heading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link w:val="Heading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link w:val="Heading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link w:val="Heading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link w:val="Title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link w:val="Subtitle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link w:val="Header"/>
    <w:uiPriority w:val="99"/>
    <w:qFormat/>
  </w:style>
  <w:style w:type="character" w:styleId="FooterChar" w:customStyle="1">
    <w:name w:val="Footer Char"/>
    <w:basedOn w:val="DefaultParagraphFont"/>
    <w:uiPriority w:val="99"/>
    <w:qFormat/>
  </w:style>
  <w:style w:type="character" w:styleId="Style9" w:customStyle="1">
    <w:name w:val="Нижний колонтитул Знак"/>
    <w:link w:val="Footer"/>
    <w:uiPriority w:val="99"/>
    <w:qFormat/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character" w:styleId="Style10" w:customStyle="1">
    <w:name w:val="Текст сноски Знак"/>
    <w:link w:val="FootnoteText"/>
    <w:uiPriority w:val="99"/>
    <w:qFormat/>
    <w:rPr>
      <w:sz w:val="18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концевой сноски Знак"/>
    <w:link w:val="EndnoteText"/>
    <w:uiPriority w:val="99"/>
    <w:qFormat/>
    <w:rPr>
      <w:sz w:val="20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</w:style>
  <w:style w:type="paragraph" w:styleId="NoSpacing">
    <w:name w:val="No Spacing"/>
    <w:uiPriority w:val="1"/>
    <w:qFormat/>
    <w:pPr>
      <w:widowControl/>
      <w:spacing w:before="0" w:after="0" w:line="240" w:lineRule="auto"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paragraph" w:styleId="HeaderandFooter">
    <w:name w:val="Header and Footer"/>
    <w:basedOn w:val="Normal"/>
    <w:qFormat/>
  </w:style>
  <w:style w:type="paragraph" w:styleId="Header">
    <w:name w:val="Header"/>
    <w:basedOn w:val="Normal"/>
    <w:link w:val="Style8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before="0" w:after="0" w:line="240" w:lineRule="auto"/>
    </w:pPr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before="0" w:after="0" w:line="240" w:lineRule="auto"/>
    </w:pPr>
  </w:style>
  <w:style w:type="paragraph" w:styleId="Caption1">
    <w:name w:val="caption1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Style1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EndnoteText">
    <w:name w:val="Endnote Text"/>
    <w:basedOn w:val="Normal"/>
    <w:link w:val="Style11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</w:style>
  <w:style w:type="paragraph" w:styleId="IndexHeading">
    <w:name w:val="Index Heading"/>
    <w:basedOn w:val="Heading"/>
  </w:style>
  <w:style w:type="paragraph" w:styleId="TOCHeading">
    <w:name w:val="TOC Heading"/>
    <w:uiPriority w:val="39"/>
    <w:unhideWhenUsed/>
    <w:qFormat/>
    <w:pPr>
      <w:widowControl/>
      <w:spacing w:before="0" w:after="200" w:line="276" w:lineRule="auto"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</w:style>
  <w:style w:type="paragraph" w:styleId="ConsPlusTitle" w:customStyle="1">
    <w:name w:val="ConsPlusTitle"/>
    <w:qFormat/>
    <w:pPr>
      <w:widowControl w:val="off"/>
      <w:spacing w:before="0" w:after="0" w:line="240" w:lineRule="auto"/>
      <w:jc w:val="left"/>
    </w:pPr>
    <w:rPr>
      <w:rFonts w:ascii="Arial" w:hAnsi="Arial" w:eastAsia="Times New Roman" w:cs="Arial" w:cstheme="minorBidi"/>
      <w:b/>
      <w:bCs/>
      <w:color w:val="auto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/>
      <w:spacing w:before="0" w:after="0" w:line="240" w:lineRule="auto"/>
      <w:jc w:val="left"/>
    </w:pPr>
    <w:rPr>
      <w:rFonts w:ascii="Arial" w:hAnsi="Arial" w:eastAsia="Arial" w:cs="Arial" w:cstheme="minorBidi"/>
      <w:color w:val="auto"/>
      <w:sz w:val="16"/>
      <w:szCs w:val="20"/>
      <w:lang w:val="en-US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styleId="a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cPr>
        <w:shd w:val="clear" w:color="f2f2f2" w:fill="f2f2f2" w:themeFill="text1" w:themeFillTint="00"/>
      </w:tcPr>
    </w:tblStylePr>
    <w:tblStylePr w:type="band1Horz">
      <w:tcPr>
        <w:shd w:val="clear" w:color="f2f2f2" w:fill="f2f2f2" w:themeFill="text1" w:themeFillTint="00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band1Horz">
      <w:rPr>
        <w:sz w:val="22"/>
      </w:rPr>
      <w:tcPr>
        <w:shd w:val="clear" w:color="f2f2f2" w:fill="f2f2f2" w:themeFill="text1" w:themeFillTint="00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band1Horz">
      <w:rPr>
        <w:sz w:val="22"/>
      </w:rPr>
      <w:tcPr>
        <w:shd w:val="clear" w:color="f2f2f2" w:fill="f2f2f2" w:themeFill="text1" w:themeFillTint="00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band1Horz">
      <w:rPr>
        <w:sz w:val="22"/>
      </w:rPr>
      <w:tcPr>
        <w:shd w:val="clear" w:color="f2f2f2" w:fill="f2f2f2" w:themeFill="text1" w:themeFillTint="00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cPr>
        <w:tcBorders>
          <w:bottom w:val="single" w:color="6A6A6A" w:themeColor="text1" w:sz="12" w:space="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band1Horz">
      <w:rPr>
        <w:sz w:val="22"/>
      </w:rPr>
      <w:tcPr>
        <w:shd w:val="clear" w:color="cbcbcb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band1Horz">
      <w:rPr>
        <w:sz w:val="22"/>
      </w:rPr>
      <w:tcPr>
        <w:shd w:val="clear" w:color="dae5f1" w:fill="dae5f1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band1Horz">
      <w:rPr>
        <w:sz w:val="22"/>
      </w:rPr>
      <w:tcPr>
        <w:shd w:val="clear" w:color="f2dcdc" w:fill="f2dcdc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band1Horz">
      <w:rPr>
        <w:sz w:val="22"/>
      </w:rPr>
      <w:tcPr>
        <w:shd w:val="clear" w:color="eaf1dc" w:fill="eaf1d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band1Horz">
      <w:rPr>
        <w:sz w:val="22"/>
      </w:rPr>
      <w:tcPr>
        <w:shd w:val="clear" w:color="e5dfec" w:fill="e5dfec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band1Horz">
      <w:rPr>
        <w:sz w:val="22"/>
      </w:rPr>
      <w:tcPr>
        <w:shd w:val="clear" w:color="daeef3" w:fill="daee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band1Horz">
      <w:rPr>
        <w:sz w:val="22"/>
      </w:rPr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band1Horz">
      <w:rPr>
        <w:sz w:val="22"/>
      </w:rPr>
      <w:tcPr>
        <w:shd w:val="clear" w:color="cbcbcb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band1Horz">
      <w:rPr>
        <w:sz w:val="22"/>
      </w:rPr>
      <w:tcPr>
        <w:shd w:val="clear" w:color="dae5f1" w:fill="dae5f1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band1Horz">
      <w:rPr>
        <w:sz w:val="22"/>
      </w:rPr>
      <w:tcPr>
        <w:shd w:val="clear" w:color="f2dcdc" w:fill="f2dcdc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band1Horz">
      <w:rPr>
        <w:sz w:val="22"/>
      </w:rPr>
      <w:tcPr>
        <w:shd w:val="clear" w:color="eaf1dc" w:fill="eaf1d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band1Horz">
      <w:rPr>
        <w:sz w:val="22"/>
      </w:rPr>
      <w:tcPr>
        <w:shd w:val="clear" w:color="e5dfec" w:fill="e5dfec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band1Horz">
      <w:rPr>
        <w:sz w:val="22"/>
      </w:rPr>
      <w:tcPr>
        <w:shd w:val="clear" w:color="daeef3" w:fill="daee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band1Horz">
      <w:rPr>
        <w:sz w:val="22"/>
      </w:rPr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band1Horz">
      <w:rPr>
        <w:sz w:val="22"/>
      </w:rPr>
      <w:tcPr>
        <w:shd w:val="clear" w:color="cbcbcb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cPr>
        <w:tcBorders>
          <w:top w:val="single" w:color="5D8AC2" w:themeColor="accent1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shd w:val="clear" w:color="dce6f2" w:fill="dce6f2" w:themeFill="accent1" w:themeFillTint="32"/>
      </w:tcPr>
    </w:tblStylePr>
    <w:tblStylePr w:type="band1Horz">
      <w:rPr>
        <w:sz w:val="22"/>
      </w:rPr>
      <w:tcPr>
        <w:shd w:val="clear" w:color="dce6f2" w:fill="dce6f2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cPr>
        <w:tcBorders>
          <w:top w:val="single" w:color="D99695" w:themeColor="accent2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band1Horz">
      <w:rPr>
        <w:sz w:val="22"/>
      </w:rPr>
      <w:tcPr>
        <w:shd w:val="clear" w:color="f2dcdc" w:fill="f2dcdc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cPr>
        <w:tcBorders>
          <w:top w:val="single" w:color="9ABB59" w:themeColor="accent3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band1Horz">
      <w:rPr>
        <w:sz w:val="22"/>
      </w:rPr>
      <w:tcPr>
        <w:shd w:val="clear" w:color="eaf1dc" w:fill="eaf1d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cPr>
        <w:tcBorders>
          <w:top w:val="single" w:color="B2A1C6" w:themeColor="accent4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band1Horz">
      <w:rPr>
        <w:sz w:val="22"/>
      </w:rPr>
      <w:tcPr>
        <w:shd w:val="clear" w:color="e5dfec" w:fill="e5dfec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band1Horz">
      <w:rPr>
        <w:sz w:val="22"/>
      </w:rPr>
      <w:tcPr>
        <w:shd w:val="clear" w:color="daeef3" w:fill="daee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band1Horz">
      <w:rPr>
        <w:sz w:val="22"/>
      </w:rPr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a8a8a" w:themeFill="text1" w:themeFillTint="75"/>
      </w:tcPr>
    </w:tblStylePr>
    <w:tblStylePr w:type="band1Horz">
      <w:tcPr>
        <w:shd w:val="clear" w:color="8a8a8a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cPr>
        <w:shd w:val="clear" w:color="4f81bd" w:fill="4f81bd" w:themeFill="accent1"/>
      </w:tcPr>
    </w:tblStylePr>
    <w:tblStylePr w:type="lastRow">
      <w:rPr>
        <w:b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4e0" w:themeFill="accent1" w:themeFillTint="75"/>
      </w:tcPr>
    </w:tblStylePr>
    <w:tblStylePr w:type="band1Horz">
      <w:tcPr>
        <w:shd w:val="clear" w:color="aec4e0" w:fill="aec4e0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cPr>
        <w:shd w:val="clear" w:color="c0504d" w:fill="c0504d" w:themeFill="accent2"/>
      </w:tcPr>
    </w:tblStylePr>
    <w:tblStylePr w:type="lastRow">
      <w:rPr>
        <w:b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cPr>
        <w:shd w:val="clear" w:color="9bbb59" w:fill="9bbb59" w:themeFill="accent3"/>
      </w:tcPr>
    </w:tblStylePr>
    <w:tblStylePr w:type="lastRow">
      <w:rPr>
        <w:b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0dfb2" w:themeFill="accent3" w:themeFillTint="75"/>
      </w:tcPr>
    </w:tblStylePr>
    <w:tblStylePr w:type="band1Horz">
      <w:tcPr>
        <w:shd w:val="clear" w:color="d0dfb2" w:fill="d0dfb2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cPr>
        <w:shd w:val="clear" w:color="8064a2" w:fill="8064a2" w:themeFill="accent4"/>
      </w:tcPr>
    </w:tblStylePr>
    <w:tblStylePr w:type="lastRow">
      <w:rPr>
        <w:b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cPr>
        <w:shd w:val="clear" w:color="4bacc6" w:fill="4bacc6" w:themeFill="accent5"/>
      </w:tcPr>
    </w:tblStylePr>
    <w:tblStylePr w:type="lastRow">
      <w:rPr>
        <w:b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cPr>
        <w:shd w:val="clear" w:color="f79646" w:fill="f79646" w:themeFill="accent6"/>
      </w:tcPr>
    </w:tblStylePr>
    <w:tblStylePr w:type="lastRow">
      <w:rPr>
        <w:b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</w:tblStylePr>
    <w:tblStylePr w:type="firstCol">
      <w:rPr>
        <w:b/>
        <w:color w:themeColor="text1" w:themeTint="80" w:themeShade="95"/>
      </w:rPr>
    </w:tblStylePr>
    <w:tblStylePr w:type="lastCol">
      <w:rPr>
        <w:b/>
        <w:color w:themeColor="text1" w:themeTint="80" w:themeShade="95"/>
      </w:rPr>
    </w:tblStylePr>
    <w:tblStylePr w:type="band1Vert"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</w:tblStylePr>
    <w:tblStylePr w:type="firstCol">
      <w:rPr>
        <w:b/>
        <w:color w:themeColor="accent1" w:themeTint="80" w:themeShade="95"/>
      </w:rPr>
    </w:tblStylePr>
    <w:tblStylePr w:type="lastCol">
      <w:rPr>
        <w:b/>
        <w:color w:themeColor="accent1" w:themeTint="80" w:themeShade="95"/>
      </w:rPr>
    </w:tblStylePr>
    <w:tblStylePr w:type="band1Vert"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</w:tblStylePr>
    <w:tblStylePr w:type="firstCol">
      <w:rPr>
        <w:b/>
        <w:color w:themeColor="accent2" w:themeTint="97" w:themeShade="95"/>
      </w:rPr>
    </w:tblStylePr>
    <w:tblStylePr w:type="lastCol">
      <w:rPr>
        <w:b/>
        <w:color w:themeColor="accent2" w:themeTint="97" w:themeShade="95"/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</w:tblStylePr>
    <w:tblStylePr w:type="firstCol">
      <w:rPr>
        <w:b/>
        <w:color w:themeColor="accent3" w:themeTint="FE" w:themeShade="95"/>
      </w:rPr>
    </w:tblStylePr>
    <w:tblStylePr w:type="lastCol">
      <w:rPr>
        <w:b/>
        <w:color w:themeColor="accent3" w:themeTint="FE" w:themeShade="95"/>
      </w:rPr>
    </w:tblStylePr>
    <w:tblStylePr w:type="band1Vert"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</w:tblStylePr>
    <w:tblStylePr w:type="firstCol">
      <w:rPr>
        <w:b/>
        <w:color w:themeColor="accent4" w:themeTint="9A" w:themeShade="95"/>
      </w:rPr>
    </w:tblStylePr>
    <w:tblStylePr w:type="lastCol">
      <w:rPr>
        <w:b/>
        <w:color w:themeColor="accent4" w:themeTint="9A" w:themeShade="95"/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</w:tblStylePr>
    <w:tblStylePr w:type="firstCol">
      <w:rPr>
        <w:b/>
        <w:color w:themeColor="accent5" w:themeShade="95"/>
      </w:rPr>
    </w:tblStylePr>
    <w:tblStylePr w:type="lastCol">
      <w:rPr>
        <w:b/>
        <w:color w:themeColor="accent5" w:themeShade="95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</w:tblStylePr>
    <w:tblStylePr w:type="firstCol">
      <w:rPr>
        <w:b/>
        <w:color w:themeColor="accent5" w:themeShade="95"/>
      </w:rPr>
    </w:tblStylePr>
    <w:tblStylePr w:type="lastCol">
      <w:rPr>
        <w:b/>
        <w:color w:themeColor="accent5" w:themeShade="95"/>
      </w:rPr>
    </w:tblStylePr>
    <w:tblStylePr w:type="band1Vert"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fill="f2f2f2" w:themeFill="text1" w:themeFillTint="00"/>
      </w:tcPr>
    </w:tblStylePr>
    <w:tblStylePr w:type="band1Horz">
      <w:rPr>
        <w:color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2Horz">
      <w:rPr>
        <w:color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bfbfbf" w:fill="bfbfbf" w:themeFill="text1" w:themeFillTint="40"/>
      </w:tcPr>
    </w:tblStylePr>
    <w:tblStylePr w:type="band1Horz">
      <w:tcPr>
        <w:shd w:val="clear" w:color="bfbfbf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efd2d2" w:fill="efd2d2" w:themeFill="accent2" w:themeFillTint="40"/>
      </w:tcPr>
    </w:tblStylePr>
    <w:tblStylePr w:type="band1Horz">
      <w:tcPr>
        <w:shd w:val="clear" w:color="efd2d2" w:fill="efd2d2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e5eed5" w:fill="e5eed5" w:themeFill="accent3" w:themeFillTint="40"/>
      </w:tcPr>
    </w:tblStylePr>
    <w:tblStylePr w:type="band1Horz">
      <w:tcPr>
        <w:shd w:val="clear" w:color="e5eed5" w:fill="e5eed5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fde4d0" w:fill="fde4d0" w:themeFill="accent6" w:themeFillTint="40"/>
      </w:tcPr>
    </w:tblStylePr>
    <w:tblStylePr w:type="band1Horz"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band1Horz">
      <w:rPr>
        <w:sz w:val="22"/>
      </w:rPr>
      <w:tcPr>
        <w:shd w:val="clear" w:color="bfbfbf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band1Horz">
      <w:rPr>
        <w:sz w:val="22"/>
      </w:rPr>
      <w:tcPr>
        <w:shd w:val="clear" w:color="d2dfee" w:fill="d2dfee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band1Horz">
      <w:rPr>
        <w:sz w:val="22"/>
      </w:rPr>
      <w:tcPr>
        <w:shd w:val="clear" w:color="efd2d2" w:fill="efd2d2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band1Horz">
      <w:rPr>
        <w:sz w:val="22"/>
      </w:rPr>
      <w:tcPr>
        <w:shd w:val="clear" w:color="e5eed5" w:fill="e5eed5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band1Horz">
      <w:rPr>
        <w:sz w:val="22"/>
      </w:rPr>
      <w:tcPr>
        <w:shd w:val="clear" w:color="dfd8e7" w:fill="dfd8e7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band1Horz">
      <w:rPr>
        <w:sz w:val="22"/>
      </w:rPr>
      <w:tcPr>
        <w:shd w:val="clear" w:color="d1eaf0" w:fill="d1ea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band1Horz">
      <w:rPr>
        <w:sz w:val="22"/>
      </w:rPr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band1Horz">
      <w:rPr>
        <w:sz w:val="22"/>
      </w:rPr>
      <w:tcPr>
        <w:shd w:val="clear" w:color="bfbfbf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band1Horz">
      <w:rPr>
        <w:sz w:val="22"/>
      </w:rPr>
      <w:tcPr>
        <w:shd w:val="clear" w:color="d2dfee" w:fill="d2dfee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band1Horz">
      <w:rPr>
        <w:sz w:val="22"/>
      </w:rPr>
      <w:tcPr>
        <w:shd w:val="clear" w:color="efd2d2" w:fill="efd2d2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band1Horz">
      <w:rPr>
        <w:sz w:val="22"/>
      </w:rPr>
      <w:tcPr>
        <w:shd w:val="clear" w:color="e5eed5" w:fill="e5eed5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band1Horz">
      <w:rPr>
        <w:sz w:val="22"/>
      </w:rPr>
      <w:tcPr>
        <w:shd w:val="clear" w:color="dfd8e7" w:fill="dfd8e7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band1Horz">
      <w:rPr>
        <w:sz w:val="22"/>
      </w:rPr>
      <w:tcPr>
        <w:shd w:val="clear" w:color="d1eaf0" w:fill="d1ea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band1Horz">
      <w:rPr>
        <w:sz w:val="22"/>
      </w:rPr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</w:tblStylePr>
    <w:tblStylePr w:type="firstCol">
      <w:rPr>
        <w:b/>
        <w:color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</w:tblStylePr>
    <w:tblStylePr w:type="firstCol">
      <w:rPr>
        <w:b/>
        <w:color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</w:tblStylePr>
    <w:tblStylePr w:type="firstCol">
      <w:rPr>
        <w:b/>
        <w:color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</w:tblStylePr>
    <w:tblStylePr w:type="firstCol">
      <w:rPr>
        <w:b/>
        <w:color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</w:tblStylePr>
    <w:tblStylePr w:type="firstCol">
      <w:rPr>
        <w:b/>
        <w:color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</w:tblStylePr>
    <w:tblStylePr w:type="firstCol">
      <w:rPr>
        <w:b/>
        <w:color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</w:tblStylePr>
    <w:tblStylePr w:type="firstCol">
      <w:rPr>
        <w:b/>
        <w:color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</w:tblStylePr>
    <w:tblStylePr w:type="lastCol">
      <w:rPr>
        <w:b/>
        <w:color w:themeColor="text1"/>
      </w:rPr>
    </w:tblStylePr>
    <w:tblStylePr w:type="band1Vert"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</w:tblStylePr>
    <w:tblStylePr w:type="lastCol">
      <w:rPr>
        <w:b/>
        <w:color w:themeColor="accent1" w:themeShade="95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</w:tblStylePr>
    <w:tblStylePr w:type="lastCol">
      <w:rPr>
        <w:b/>
        <w:color w:themeColor="accent2" w:themeTint="97" w:themeShade="95"/>
      </w:rPr>
    </w:tblStylePr>
    <w:tblStylePr w:type="band1Vert"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</w:tblStylePr>
    <w:tblStylePr w:type="lastCol">
      <w:rPr>
        <w:b/>
        <w:color w:themeColor="accent3" w:themeTint="98" w:themeShade="95"/>
      </w:rPr>
    </w:tblStylePr>
    <w:tblStylePr w:type="band1Vert"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</w:tblStylePr>
    <w:tblStylePr w:type="lastCol">
      <w:rPr>
        <w:b/>
        <w:color w:themeColor="accent4" w:themeTint="9A" w:themeShade="95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</w:tblStylePr>
    <w:tblStylePr w:type="lastCol">
      <w:rPr>
        <w:b/>
        <w:color w:themeColor="accent5" w:themeTint="9A" w:themeShade="95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</w:tblStylePr>
    <w:tblStylePr w:type="lastCol">
      <w:rPr>
        <w:b/>
        <w:color w:themeColor="accent6" w:themeTint="98" w:themeShade="95"/>
      </w:rPr>
    </w:tblStylePr>
    <w:tblStylePr w:type="band1Vert"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</w:tblStylePr>
    <w:tblStylePr w:type="lastCol">
      <w:rPr>
        <w:sz w:val="22"/>
      </w:rPr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</w:tblStylePr>
    <w:tblStylePr w:type="lastCol">
      <w:rPr>
        <w:sz w:val="22"/>
      </w:rPr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</w:tblStylePr>
    <w:tblStylePr w:type="lastCol">
      <w:rPr>
        <w:sz w:val="22"/>
      </w:rPr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</w:tblStylePr>
    <w:tblStylePr w:type="lastCol">
      <w:rPr>
        <w:sz w:val="22"/>
      </w:rPr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</w:tblStylePr>
    <w:tblStylePr w:type="lastCol">
      <w:rPr>
        <w:sz w:val="22"/>
      </w:rPr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</w:tblStylePr>
    <w:tblStylePr w:type="lastCol">
      <w:rPr>
        <w:sz w:val="22"/>
      </w:rPr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haracters>1580</Characters>
  <CharactersWithSpaces>1854</CharactersWithSpaces>
  <Pages>1</Pages>
  <Paragraphs>3</Paragraphs>
  <Template>Normal</Template>
  <TotalTime>9</TotalTime>
  <Words>277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 Елена Владимировна</dc:creator>
  <dc:description/>
  <dc:language>ru-RU</dc:language>
  <cp:lastModifiedBy/>
  <cp:revision>28</cp:revision>
  <cp:lastPrinted>2025-11-11T08:00:00Z</cp:lastPrinted>
  <dcterms:created xsi:type="dcterms:W3CDTF">2021-09-03T02:35:00Z</dcterms:created>
  <dcterms:modified xsi:type="dcterms:W3CDTF">2025-11-13T11:03:58Z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