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14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14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29.04.2025  №</w:t>
      </w:r>
      <w:r>
        <w:rPr>
          <w:color w:val="000000"/>
          <w:sz w:val="28"/>
          <w:szCs w:val="28"/>
        </w:rPr>
        <w:t xml:space="preserve"> 200-п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708" w:leader="none"/>
          <w:tab w:val="center" w:pos="1134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20.09.2021 № 362-п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 31.07.2020 № 248-ФЗ «О государственном контроле (надзоре)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 контроле в Российской Федерации» </w:t>
      </w: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постановление Правительства Новосибирской области от</w:t>
      </w:r>
      <w:r>
        <w:rPr>
          <w:rFonts w:eastAsia="Calibri"/>
          <w:sz w:val="28"/>
          <w:szCs w:val="28"/>
        </w:rPr>
        <w:t xml:space="preserve"> 20.09.2021 № 362-п «Об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утверждении Положения о региональном государственном контроле (надзоре) за достоверностью, актуальностью и полнотой сведений об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организациях отдыха детей и их оздоровления, содержащихся в реестре организаций отдыха детей и их оздоровления»</w:t>
      </w:r>
      <w:r>
        <w:rPr>
          <w:bCs/>
          <w:sz w:val="28"/>
          <w:szCs w:val="28"/>
        </w:rPr>
        <w:t xml:space="preserve"> следующие изменения:</w:t>
      </w:r>
      <w:r>
        <w:rPr>
          <w:bCs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4 слова «Нелюбова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.А.» заменить словами «Хальзова </w:t>
      </w:r>
      <w:r>
        <w:rPr>
          <w:rFonts w:ascii="Times New Roman" w:hAnsi="Times New Roman" w:cs="Times New Roman"/>
          <w:sz w:val="28"/>
          <w:szCs w:val="28"/>
        </w:rPr>
        <w:t xml:space="preserve">К.В.».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Положении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региональном государственном контроле (надзоре) за достоверностью, актуальностью и полнотой сведений об организациях отдыха детей и их оздоровления, содержащихся в реестр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организаций отдыха детей и их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пункты 10, 11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 Перечень объектов государственного контроля (надзора) ведется в 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государственного контроля (надзора) по категории риска размещается на официальном сайте министерства в информационно-телекоммуникационной сети «Интернет» (далее – сеть</w:t>
      </w:r>
      <w:r>
        <w:rPr>
          <w:rFonts w:ascii="Times New Roman" w:hAnsi="Times New Roman" w:cs="Times New Roman"/>
          <w:sz w:val="28"/>
          <w:szCs w:val="28"/>
        </w:rPr>
        <w:t xml:space="preserve"> «Интернет») посредством публикации части официального сайта единого реестра видов контроля в сети «Интернет» для отображения соответствующего перечня объектов государственного контроля (надзора) (виджет) на официальном сайте министерства в сети «Интернет.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сведений в перечень объектов государственного контроля (надзора) в единый реестр видов контроля может осуществляться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объектах государственного контроля (н</w:t>
      </w:r>
      <w:r>
        <w:rPr>
          <w:rFonts w:ascii="Times New Roman" w:hAnsi="Times New Roman" w:cs="Times New Roman"/>
          <w:sz w:val="28"/>
          <w:szCs w:val="28"/>
        </w:rPr>
        <w:t xml:space="preserve">адзора) и связанных с </w:t>
      </w:r>
      <w:r>
        <w:rPr>
          <w:rFonts w:ascii="Times New Roman" w:hAnsi="Times New Roman" w:cs="Times New Roman"/>
          <w:sz w:val="28"/>
          <w:szCs w:val="28"/>
        </w:rPr>
        <w:t xml:space="preserve">ним контролируемых лицах актуализируется по мере ее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Перечень объектов государственного контроля (надзора) содержит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контролируемого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наименование объекта государственного контроля (надзора);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сведения о категории риска причинения вреда (ущерба) (далее – категория риска).»;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пункты 15, 16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 В отношении объектов государственного контроля (надзора), которые отнесены к категории среднего или умеренного риска, обязательные профилактические визиты проводятся в соответствии с пунктом 3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25 Федерального закона № 248-ФЗ.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В рамках вида государственного контроля (надзора) плановые контрольные (надзорные) мероприятия в отношении объектов государственного контроля (надзора) не проводятся.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объектов государственного контроля (надзора), отнесенных к категории низкого риска,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обязательные профилактические визиты </w:t>
      </w:r>
      <w:r>
        <w:rPr>
          <w:rFonts w:ascii="Times New Roman" w:hAnsi="Times New Roman" w:cs="Times New Roman"/>
          <w:sz w:val="28"/>
          <w:szCs w:val="28"/>
        </w:rPr>
        <w:t xml:space="preserve">не </w:t>
      </w:r>
      <w:r>
        <w:rPr>
          <w:rFonts w:ascii="Times New Roman" w:hAnsi="Times New Roman" w:cs="Times New Roman"/>
          <w:sz w:val="28"/>
          <w:szCs w:val="28"/>
        </w:rPr>
        <w:t xml:space="preserve">проводятся.»;</w:t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733"/>
        <w:ind w:firstLine="709"/>
        <w:jc w:val="both"/>
        <w:rPr>
          <w:rStyle w:val="803"/>
          <w:rFonts w:ascii="Times New Roman" w:hAnsi="Times New Roman" w:cs="Times New Roman"/>
          <w:sz w:val="28"/>
          <w:szCs w:val="28"/>
        </w:rPr>
      </w:pPr>
      <w:r>
        <w:rPr>
          <w:rStyle w:val="803"/>
          <w:rFonts w:ascii="Times New Roman" w:hAnsi="Times New Roman" w:cs="Times New Roman"/>
          <w:sz w:val="28"/>
          <w:szCs w:val="28"/>
        </w:rPr>
        <w:t xml:space="preserve">3) пункт 17 признать утратившим силу;</w:t>
      </w:r>
      <w:r>
        <w:rPr>
          <w:rStyle w:val="803"/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Style w:val="80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пункте 19 слова «пяти дней» заменить словами «пяти календарных дней»;</w:t>
      </w:r>
      <w:r>
        <w:rPr>
          <w:rStyle w:val="803"/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пункт 20 дополнить подпунктом 6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 самообследование.»;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пункте 22: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 Министерство ежегодно, не позднее 1 марта года, следующего за отчетным, по итогам обобщения правоприменительной практики обеспечивает подготовку доклада, содержащего результаты обобщения правоприменительной практики министерства (далее – доклад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практике).»;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абзаце третьем слова «10 дней»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абзац второй пункта 23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«Предостережение не может</w:t>
      </w:r>
      <w:r>
        <w:rPr>
          <w:rFonts w:ascii="Times New Roman" w:hAnsi="Times New Roman" w:cs="Times New Roman"/>
          <w:sz w:val="28"/>
          <w:szCs w:val="28"/>
        </w:rPr>
        <w:t xml:space="preserve">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пункт 25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 Возражение направляется контролируемым лицом в министерство в срок не позднее 15 рабочих дней с </w:t>
      </w:r>
      <w:r>
        <w:rPr>
          <w:rFonts w:ascii="Times New Roman" w:hAnsi="Times New Roman" w:cs="Times New Roman"/>
          <w:sz w:val="28"/>
          <w:szCs w:val="28"/>
        </w:rPr>
        <w:t xml:space="preserve">даты получения предостережения посредством электронной почты на указанный в предостережении адрес электронной почты министерства, почтовым отправлением (в случае направления на бумажном носителе) либо посредством федеральной государственной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 и муниципальных услуг (функций)» (далее – единый портал государственных и муниципальных услуг).»;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после пункта 25 дополнить пунктами 25.1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25.4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«25.1. Министерство возвращает контролируемому лицу поданное возражение без рассмотрения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его регистрации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следующим основаниям: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возражение поступило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истечении сро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ка, предусмотренного пунктом 25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возражение не поддается прочтению;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 обработка возражения невозможна в связи с повреждением бумажного носителя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электронного файла возражения и </w:t>
      </w:r>
      <w:r>
        <w:rPr>
          <w:rFonts w:ascii="Times New Roman" w:hAnsi="Times New Roman" w:cs="Times New Roman"/>
          <w:bCs/>
          <w:sz w:val="28"/>
          <w:szCs w:val="28"/>
        </w:rPr>
        <w:t xml:space="preserve">(или) прилагаемых к нему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возражение не подписано, в нем отсутствуют или невозможно достоверно определить сведения, указанные в пункте 24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к возражению не приложены: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документы, подтверждающие доводы возражения;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полномочия представителя (если возражение подается представителем).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 При отсутствии оснований, предусмотренных пунктом 25.1 настоящего Положения, возражение рассматривается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течение 14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его регистрации в министерстве.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Возражение регистрируется в день его поступления в министерство.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25.3. По результатам рассмотрения возражения и в с</w:t>
      </w:r>
      <w:r>
        <w:rPr>
          <w:rFonts w:ascii="Times New Roman" w:hAnsi="Times New Roman" w:cs="Times New Roman"/>
          <w:sz w:val="28"/>
          <w:szCs w:val="28"/>
        </w:rPr>
        <w:t xml:space="preserve">рок, установленный пунктом 25.2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министерство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 отмене объявленного предостережения;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 внесении изменений в объявленное предостережение в пользу контролируемого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 отказе в удовлетворении возражения.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25.4. Не позднее рабочего дня, следующего за днем принят</w:t>
      </w:r>
      <w:r>
        <w:rPr>
          <w:rFonts w:ascii="Times New Roman" w:hAnsi="Times New Roman" w:cs="Times New Roman"/>
          <w:sz w:val="28"/>
          <w:szCs w:val="28"/>
        </w:rPr>
        <w:t xml:space="preserve">ия одного из </w:t>
      </w:r>
      <w:r>
        <w:rPr>
          <w:rFonts w:ascii="Times New Roman" w:hAnsi="Times New Roman" w:cs="Times New Roman"/>
          <w:sz w:val="28"/>
          <w:szCs w:val="28"/>
        </w:rPr>
        <w:t xml:space="preserve">решений, указанных в пункте 25.3 настоящего Положения, контролируемому лицу, подавшему возражение, способом, указанным в возражении, направляется мотивированный ответ о результатах рассмотрения возражения.»;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пункты 29–31.5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«29. Профилактический визит проводится в форме профилактической беседы должностным лицом министерства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 обязательных требованиях, предъявляемых к его деятельности либо к принадлежащим ему объектам контроля, их соответствии критериям риска, о рекомендуемых способах снижения категории р</w:t>
      </w:r>
      <w:r>
        <w:rPr>
          <w:sz w:val="28"/>
          <w:szCs w:val="28"/>
        </w:rPr>
        <w:t xml:space="preserve">иска, видах, содержании и </w:t>
      </w:r>
      <w:r>
        <w:rPr>
          <w:sz w:val="28"/>
          <w:szCs w:val="28"/>
        </w:rPr>
        <w:t xml:space="preserve">об интенсивности мероприятий, проводимых в отношении объекта контроля исходя из его отнесения к соответствующей категории риска, а должностное лицо министерства осуществляет ознакомление с объектом контроля, сбор сведений, </w:t>
      </w:r>
      <w:r>
        <w:rPr>
          <w:sz w:val="28"/>
          <w:szCs w:val="28"/>
        </w:rPr>
        <w:t xml:space="preserve">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профилактического визита по инициативе контролируемого лица не может превышать двух часов в течение одного рабочего дня. Срок проведения обязательного профилактического визита не может превышать </w:t>
      </w:r>
      <w:r>
        <w:rPr>
          <w:sz w:val="28"/>
          <w:szCs w:val="28"/>
        </w:rPr>
        <w:t xml:space="preserve">десяти</w:t>
      </w:r>
      <w:r>
        <w:rPr>
          <w:sz w:val="28"/>
          <w:szCs w:val="28"/>
        </w:rPr>
        <w:t xml:space="preserve"> рабочих дней и может быть продлен на срок, необходимый для проведения экспертизы, испытаний.</w:t>
      </w:r>
      <w:r>
        <w:rPr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Обязательный профилактический визит проводится в случаях, установленных статьей 52.1 Федерального закона № 248-ФЗ. Обязательный профилактический визит не предусматривает отказ контролируемого лица от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обязательного профилактического визита может проводиться осмотр, истребование необходимых документов,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отбор проб (образцов), инструментальное обследование, испытание, экспертиза.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</w:t>
      </w:r>
      <w:r>
        <w:rPr>
          <w:rFonts w:ascii="Times New Roman" w:hAnsi="Times New Roman" w:cs="Times New Roman"/>
          <w:sz w:val="28"/>
          <w:szCs w:val="28"/>
        </w:rPr>
        <w:t xml:space="preserve">ктического визита (далее также –</w:t>
      </w:r>
      <w:r>
        <w:rPr>
          <w:rFonts w:ascii="Times New Roman" w:hAnsi="Times New Roman" w:cs="Times New Roman"/>
          <w:sz w:val="28"/>
          <w:szCs w:val="28"/>
        </w:rPr>
        <w:t xml:space="preserve"> акт обязательного профилактического визита) в порядке, предусмотренном статьей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90 Федерального закона № 248-ФЗ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</w:t>
      </w:r>
      <w:r>
        <w:rPr>
          <w:rFonts w:ascii="Times New Roman" w:hAnsi="Times New Roman" w:cs="Times New Roman"/>
          <w:sz w:val="28"/>
          <w:szCs w:val="28"/>
        </w:rPr>
        <w:t xml:space="preserve">орядке, предусмотренном статьей </w:t>
      </w:r>
      <w:r>
        <w:rPr>
          <w:rFonts w:ascii="Times New Roman" w:hAnsi="Times New Roman" w:cs="Times New Roman"/>
          <w:sz w:val="28"/>
          <w:szCs w:val="28"/>
        </w:rPr>
        <w:t xml:space="preserve">88 Федерального закона № 248-ФЗ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Профилактический визит по ини</w:t>
      </w:r>
      <w:r>
        <w:rPr>
          <w:rFonts w:ascii="Times New Roman" w:hAnsi="Times New Roman" w:cs="Times New Roman"/>
          <w:sz w:val="28"/>
          <w:szCs w:val="28"/>
        </w:rPr>
        <w:t xml:space="preserve">циативе контролируемого лица может быть проведен по его заявлению, если контролируемое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31.1. Контролируемое лицо подает заявление о проведении профилактического визита по инициативе контролируемого лица (далее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 заявление) посредством единого портала государственных и муниципальных услуг или регионального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заявление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 рабочих дней и 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31.2. В случае принятия решения о проведении профилактического визита министерство в течение 20 рабочих дней согласовывает дату его проведения с контролируемым лицом любым способом, обеспечивающим фиксирование такого согласования.</w:t>
      </w:r>
      <w:r>
        <w:rPr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31.3. Решение об отказе в проведении профилактического визита принимается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повторного заявления прове</w:t>
      </w:r>
      <w:r>
        <w:rPr>
          <w:rFonts w:ascii="Times New Roman" w:hAnsi="Times New Roman" w:cs="Times New Roman"/>
          <w:sz w:val="28"/>
          <w:szCs w:val="28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до даты подачи заявления министерством проведен профилактический визит по ранее поданному заявлению;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содержит нецензурные либо оскорбительные выражения, угрозы жизни, здоровью и имуществу должностных лиц министерства либо членов их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семей.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 248-ФЗ.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31.4. Контролируемое лицо вправе отозвать за</w:t>
      </w:r>
      <w:r>
        <w:rPr>
          <w:sz w:val="28"/>
          <w:szCs w:val="28"/>
        </w:rPr>
        <w:t xml:space="preserve">явление либо направить отказ от </w:t>
      </w:r>
      <w:r>
        <w:rPr>
          <w:sz w:val="28"/>
          <w:szCs w:val="28"/>
        </w:rPr>
        <w:t xml:space="preserve">проведения профилактического визита, у</w:t>
      </w:r>
      <w:r>
        <w:rPr>
          <w:sz w:val="28"/>
          <w:szCs w:val="28"/>
        </w:rPr>
        <w:t xml:space="preserve">ведомив об этом министерство не </w:t>
      </w:r>
      <w:r>
        <w:rPr>
          <w:sz w:val="28"/>
          <w:szCs w:val="28"/>
        </w:rPr>
        <w:t xml:space="preserve">позднее чем за </w:t>
      </w:r>
      <w:r>
        <w:rPr>
          <w:sz w:val="28"/>
          <w:szCs w:val="28"/>
        </w:rPr>
        <w:t xml:space="preserve">пять</w:t>
      </w:r>
      <w:r>
        <w:rPr>
          <w:sz w:val="28"/>
          <w:szCs w:val="28"/>
        </w:rPr>
        <w:t xml:space="preserve"> рабочих дней до даты его проведения.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31.5. Предписания об устранении выявленных в ходе профилактического визита по инициативе контролируемого лица нарушений обязательных требований контролируемым лицам не могут выдаваться.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профилактического визита по инициативе контролируемого лица установлено, что объекты контроля представ</w:t>
      </w:r>
      <w:r>
        <w:rPr>
          <w:sz w:val="28"/>
          <w:szCs w:val="28"/>
        </w:rPr>
        <w:t xml:space="preserve">ляют явную непосредственную угрозу причинения вреда (ущерба) охраняемым законом ценностям или такой вред (ущерб) причинен, должностное лицо министерства незамедлительно направляет информацию об этом должностному лицу министерства, уполномоченному в соответ</w:t>
      </w:r>
      <w:r>
        <w:rPr>
          <w:sz w:val="28"/>
          <w:szCs w:val="28"/>
        </w:rPr>
        <w:t xml:space="preserve">ствии с настоящим Положением на </w:t>
      </w:r>
      <w:r>
        <w:rPr>
          <w:sz w:val="28"/>
          <w:szCs w:val="28"/>
        </w:rPr>
        <w:t xml:space="preserve">принятие решений о проведении контрольных (надзорных) мероприятий для принятия решения о проведении контрольных (надзорных) мероприятий.»;</w:t>
      </w:r>
      <w:r>
        <w:rPr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после пункта 31.5 дополнить пунктом 31.6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«31.6. В целях добровольного определения контролируемыми лицами уровня соблюдения ими обязательных требований контролируемым лицом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Самообследование осуществляется в автоматизированном режиме с использованием одног</w:t>
      </w:r>
      <w:r>
        <w:rPr>
          <w:rFonts w:ascii="Times New Roman" w:hAnsi="Times New Roman" w:cs="Times New Roman"/>
          <w:sz w:val="28"/>
          <w:szCs w:val="28"/>
        </w:rPr>
        <w:t xml:space="preserve">о из способов, указанных на официальном сайте министерства в сети «Интернет», и может касаться как контролируемого лица в целом, так и его обособленных подразделений, иных объектов. Контролируемое лицо должно иметь возможность осуществить самообследование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без идентификации пользователя.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утверждает методические рекомендации по проведению самообследования и размещает их на официальном сайте министерства в сети «Интернет».»;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в пункте 38: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абзац второй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Style w:val="803"/>
          <w:rFonts w:ascii="Times New Roman" w:hAnsi="Times New Roman" w:cs="Times New Roman"/>
          <w:sz w:val="28"/>
          <w:szCs w:val="28"/>
        </w:rPr>
        <w:t xml:space="preserve">в абзаце третьем слова «</w:t>
      </w:r>
      <w:r>
        <w:rPr>
          <w:rFonts w:ascii="Times New Roman" w:hAnsi="Times New Roman" w:cs="Times New Roman"/>
          <w:sz w:val="28"/>
          <w:szCs w:val="28"/>
        </w:rPr>
        <w:t xml:space="preserve">пунктами 3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5 части 1 статьи 57</w:t>
      </w:r>
      <w:r>
        <w:rPr>
          <w:rStyle w:val="803"/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«пунктами </w:t>
      </w:r>
      <w:r>
        <w:rPr>
          <w:rFonts w:ascii="Times New Roman" w:hAnsi="Times New Roman" w:cs="Times New Roman"/>
          <w:sz w:val="28"/>
          <w:szCs w:val="28"/>
        </w:rPr>
        <w:t xml:space="preserve">3, 4, 6, 8 части 1, частью 3 статьи 57 и частью 12 статьи 66»;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в пункте 40: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абзац второй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«Внеплановая документарная проверка проводится по согласованию с органами прокуратуры, за иск</w:t>
      </w:r>
      <w:r>
        <w:rPr>
          <w:rFonts w:ascii="Times New Roman" w:hAnsi="Times New Roman" w:cs="Times New Roman"/>
          <w:sz w:val="28"/>
          <w:szCs w:val="28"/>
        </w:rPr>
        <w:t xml:space="preserve">лючением случая ее проведения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 пунктами 3, 4, 6, 8 части 1 статьи 57 Федерального закона № 248-ФЗ.»;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пункт 42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«42. Срок проведения выездной проверки не может превыша</w:t>
      </w:r>
      <w:r>
        <w:rPr>
          <w:rFonts w:ascii="Times New Roman" w:hAnsi="Times New Roman" w:cs="Times New Roman"/>
          <w:sz w:val="28"/>
          <w:szCs w:val="28"/>
        </w:rPr>
        <w:t xml:space="preserve">ть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 исключением случаев, предусмотренных частью 7 статьи 73 Федерального закона № 248-ФЗ.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выездная провер</w:t>
      </w:r>
      <w:r>
        <w:rPr>
          <w:rFonts w:ascii="Times New Roman" w:hAnsi="Times New Roman" w:cs="Times New Roman"/>
          <w:sz w:val="28"/>
          <w:szCs w:val="28"/>
        </w:rPr>
        <w:t xml:space="preserve">ка проводится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органами прокуратуры, за исключением случаев ее прове</w:t>
      </w:r>
      <w:r>
        <w:rPr>
          <w:rFonts w:ascii="Times New Roman" w:hAnsi="Times New Roman" w:cs="Times New Roman"/>
          <w:sz w:val="28"/>
          <w:szCs w:val="28"/>
        </w:rPr>
        <w:t xml:space="preserve">дения в соответствии с пунктами </w:t>
      </w:r>
      <w:r>
        <w:rPr>
          <w:rFonts w:ascii="Times New Roman" w:hAnsi="Times New Roman" w:cs="Times New Roman"/>
          <w:sz w:val="28"/>
          <w:szCs w:val="28"/>
        </w:rPr>
        <w:t xml:space="preserve">3, 4, 6, 8 части 1, частью 3 статьи 57 и частями 12, 12.1 статьи 66 Федерального закона № 248-ФЗ.»;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абзац третий пункта 43 после слова «ме</w:t>
      </w:r>
      <w:r>
        <w:rPr>
          <w:rFonts w:ascii="Times New Roman" w:hAnsi="Times New Roman" w:cs="Times New Roman"/>
          <w:sz w:val="28"/>
          <w:szCs w:val="28"/>
        </w:rPr>
        <w:t xml:space="preserve">роприятия» дополнить словами «, 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предусматривающего взаимодействие с контролируемым лицом,»;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 после пункта 44 дополнить пунктом 44.1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«44.1. В случае выявления при проведении контрольного (надзорного) мероприятия нарушений обязательных требований контролируемым лицом министерством в пределах своих полномочий, предусмотренных законодательством Российской Федерации,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выдача после оформления ак</w:t>
      </w:r>
      <w:r>
        <w:rPr>
          <w:rFonts w:ascii="Times New Roman" w:hAnsi="Times New Roman" w:cs="Times New Roman"/>
          <w:sz w:val="28"/>
          <w:szCs w:val="28"/>
        </w:rPr>
        <w:t xml:space="preserve">та контрольного (надзорного) мероприятия контролируемому лицу предписания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Предписание об </w:t>
      </w:r>
      <w:r>
        <w:rPr>
          <w:sz w:val="28"/>
          <w:szCs w:val="28"/>
        </w:rPr>
        <w:t xml:space="preserve">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в порядке, предусмотренном статьей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90.1 Федерального закона № 248-ФЗ;</w:t>
      </w:r>
      <w:r>
        <w:rPr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незамедлительное принятие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выявлении в ходе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со своей компетенцией или при наличии соответствующих полномочий принятие мер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привлечению виновных лиц к установленной законом ответственности;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принятие мер по осуществлению контроля за устранением выявленных нарушений обязательных требований, предупреждению нарушений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требований, предотвращению возможного причинения вреда (ущерб</w:t>
      </w:r>
      <w:r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принятие мер по обеспечению его исполнения вплоть до обращения в суд с требованием о принудительном исполнении предписания, если такая мера предусмотрена законодательством;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рассмотрение вопроса о выдаче рекомендаций по соблюдению обязательных требований, проведении ин</w:t>
      </w:r>
      <w:r>
        <w:rPr>
          <w:rFonts w:ascii="Times New Roman" w:hAnsi="Times New Roman" w:cs="Times New Roman"/>
          <w:sz w:val="28"/>
          <w:szCs w:val="28"/>
        </w:rPr>
        <w:t xml:space="preserve">ых мероприятий, направленных на </w:t>
      </w:r>
      <w:r>
        <w:rPr>
          <w:rFonts w:ascii="Times New Roman" w:hAnsi="Times New Roman" w:cs="Times New Roman"/>
          <w:sz w:val="28"/>
          <w:szCs w:val="28"/>
        </w:rPr>
        <w:t xml:space="preserve">профилактику рисков причинения вреда (ущерба) охраняемым законом ценностям.»;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17) пункт 50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«50. </w:t>
      </w:r>
      <w:r>
        <w:rPr>
          <w:sz w:val="28"/>
          <w:szCs w:val="28"/>
        </w:rPr>
        <w:t xml:space="preserve">Жалоба подлежит рассмотрению министерством в срок не более 15 рабочих дней со дня ее регистрации в подсистеме досудебного обжалования государственной информационной системы.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Жалоба контролируемого лица на решение об отнесении объектов государственного (контроля) надзора к соответствующей категории риска р</w:t>
      </w:r>
      <w:r>
        <w:rPr>
          <w:sz w:val="28"/>
          <w:szCs w:val="28"/>
        </w:rPr>
        <w:t xml:space="preserve">ассматривается в срок не более пяти</w:t>
      </w:r>
      <w:r>
        <w:rPr>
          <w:sz w:val="28"/>
          <w:szCs w:val="28"/>
        </w:rPr>
        <w:t xml:space="preserve"> рабочих дней.»;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18) наименование раздела VII изложить в следующей редакции:</w:t>
      </w:r>
      <w:r>
        <w:rPr>
          <w:sz w:val="28"/>
          <w:szCs w:val="28"/>
        </w:rPr>
      </w:r>
    </w:p>
    <w:p>
      <w:pPr>
        <w:pStyle w:val="73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VII. Система показателей результативности и эффективности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19) абзац первый пункта 57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«57. Показатели группы «В» являются индикативными показателями, характеризующими различные аспекты подкон</w:t>
      </w:r>
      <w:r>
        <w:rPr>
          <w:sz w:val="28"/>
          <w:szCs w:val="28"/>
        </w:rPr>
        <w:t xml:space="preserve">трольной (поднадзорной) сферы и </w:t>
      </w:r>
      <w:r>
        <w:rPr>
          <w:sz w:val="28"/>
          <w:szCs w:val="28"/>
        </w:rPr>
        <w:t xml:space="preserve">осуществления государственного контроля (надзора). Показатели группы «В» подразделяются на следующие подгруппы:»;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20) абзац первый</w:t>
      </w:r>
      <w:r>
        <w:rPr>
          <w:sz w:val="28"/>
          <w:szCs w:val="28"/>
        </w:rPr>
        <w:t xml:space="preserve"> пункта 58 дополнить словами «, </w:t>
      </w:r>
      <w:r>
        <w:rPr>
          <w:sz w:val="28"/>
          <w:szCs w:val="28"/>
        </w:rPr>
        <w:t xml:space="preserve">а также подготовку предложений по результатам обобщения правоприменительной практики»;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21) приложение «Критерии отнесения объектов регионального государственного контроля (надзора) </w:t>
      </w:r>
      <w:r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достоверностью, актуальностью и </w:t>
      </w:r>
      <w:r>
        <w:rPr>
          <w:rFonts w:eastAsia="Calibri"/>
          <w:sz w:val="28"/>
          <w:szCs w:val="28"/>
        </w:rPr>
        <w:t xml:space="preserve">полнотой сведений об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организациях отдыха детей и их оздоровления, содержащихся в реестре организаций отдыха детей и их оздоровления</w:t>
      </w:r>
      <w:r>
        <w:rPr>
          <w:sz w:val="28"/>
          <w:szCs w:val="28"/>
        </w:rPr>
        <w:t xml:space="preserve">» изложить в </w:t>
      </w:r>
      <w:r>
        <w:rPr>
          <w:sz w:val="28"/>
          <w:szCs w:val="28"/>
        </w:rPr>
        <w:t xml:space="preserve">редакции согласно приложению № 1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Ключевые показатели и их целевые значения, индикативные показатели для осуществления регионального государ</w:t>
      </w:r>
      <w:r>
        <w:rPr>
          <w:sz w:val="28"/>
          <w:szCs w:val="28"/>
        </w:rPr>
        <w:t xml:space="preserve">ственного контроля (надзора) за </w:t>
      </w:r>
      <w:r>
        <w:rPr>
          <w:sz w:val="28"/>
          <w:szCs w:val="28"/>
        </w:rPr>
        <w:t xml:space="preserve">достоверностью, актуальностью и полнотой сведений об организациях отдыха детей и их оздоровления, содержащихся в реестр</w:t>
      </w:r>
      <w:r>
        <w:rPr>
          <w:sz w:val="28"/>
          <w:szCs w:val="28"/>
        </w:rPr>
        <w:t xml:space="preserve">е организаций отдыха детей и их </w:t>
      </w:r>
      <w:r>
        <w:rPr>
          <w:sz w:val="28"/>
          <w:szCs w:val="28"/>
        </w:rPr>
        <w:t xml:space="preserve">оздоровления изложить в редакции согласно приложению № 2 к настоящему постановлению.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before="0" w:after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238 75 10</w:t>
      </w:r>
      <w:r>
        <w:rPr>
          <w:sz w:val="20"/>
          <w:szCs w:val="20"/>
          <w:highlight w:val="none"/>
        </w:rPr>
      </w:r>
    </w:p>
    <w:p>
      <w:pPr>
        <w:pStyle w:val="733"/>
        <w:ind w:left="5954"/>
        <w:jc w:val="center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3"/>
        <w:ind w:left="595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595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29.04.2025  № 200-п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595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595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Положению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(надзоре) за 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актуальностью и полнотой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организациях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и их 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оздоровления, 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реестре организаций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и их оздоровления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отнесения объектов регионального государственного контроля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(надзора) к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категориям риска в рамках осуществления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контроля (надзора) за достоверностью,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актуа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льностью и полнотой сведений об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организациях отдыха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 их оздоровления, содержащихся в реестре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654"/>
        <w:gridCol w:w="1700"/>
      </w:tblGrid>
      <w:tr>
        <w:tblPrEx/>
        <w:trPr>
          <w:jc w:val="center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654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Критерии отнесения объектов регионального государственного контроля (надзора) к категориям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700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Категории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654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ходе последнего контрольного (надзорного) мероприятия, обязательного профилакт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ического визита, проведенного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течение предшествующих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лет, выявлены нарушения обязательных требований.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контролируемого лица, включенного в реестр организаций отдыха детей и их оздоровления, министерством  в 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лет, предшествующих текущему году,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выявлялись факты представления недостоверных, неактуальных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неполных сведений о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700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атегория среднего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654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контролируемого лица в 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лет, предшествующих текущему году, не проводились контрольные (надзорные) мероприятия, обязательные профилактические визиты.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контролируемого лица, включенного в реестр организаций отдыха детей и их оздоровления, министерством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лет, предшествующих текущему году,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выявлялись факты представления недостоверных, неактуальных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неполных сведений о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700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атегория умеренного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654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ходе последнего контрольного (надзорного) мероприятия, обязательного профилакт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ического визита, проведенного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течение предшествующих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лет, не выявлены нарушения обязательных требований.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контролируемого лица, включенного в реестр организаций отдыха детей и их оздоровления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министерством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лет, предшествующих текущему году, не были выявлены факты представления недостоверных, неактуальных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неполных сведений о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700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атегория низкого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hd w:val="nil"/>
        <w:rPr>
          <w:sz w:val="20"/>
          <w:szCs w:val="20"/>
          <w:highlight w:val="none"/>
        </w:rPr>
        <w:sectPr>
          <w:headerReference w:type="default" r:id="rId10"/>
          <w:footerReference w:type="first" r:id="rId11"/>
          <w:footnotePr/>
          <w:endnotePr/>
          <w:type w:val="nextPage"/>
          <w:pgSz w:w="11909" w:h="16834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pStyle w:val="733"/>
        <w:ind w:left="1049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ind w:left="1049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29.04.2025  № 200-п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20.09.2021 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362-п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и их целевые значения, индикативные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>
        <w:rPr>
          <w:b/>
          <w:sz w:val="28"/>
          <w:szCs w:val="28"/>
        </w:rPr>
        <w:t xml:space="preserve"> отдыха детей и их </w:t>
      </w:r>
      <w:r>
        <w:rPr>
          <w:b/>
          <w:sz w:val="28"/>
          <w:szCs w:val="28"/>
        </w:rPr>
        <w:t xml:space="preserve">оздоровления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38"/>
        <w:gridCol w:w="6023"/>
        <w:gridCol w:w="356"/>
        <w:gridCol w:w="7489"/>
      </w:tblGrid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(группы показателей)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выражающийся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минимизации причинения им вреда (ущерба)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отдыха детей и их оздоровления, представивших в министерство достоверные, актуальные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полные сведения о своей деятельности, от общего количества организаций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 детей и их оздоровления,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проведены контрольно-надзорные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/>
            <m:oMath>
              <m:f>
                <m:fPr>
                  <m:ctrlPr>
                    <w:rPr>
                      <w:rFonts w:ascii="Cambria Math" w:hAnsi="Cambria Math" w:cs="Times New Roman" w:eastAsiaTheme="minorHAnsi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Times New Roman" w:hAnsi="Times New Roman" w:cs="Times New Roman" w:eastAsiaTheme="minorHAnsi"/>
                      <w:sz w:val="24"/>
                      <w:szCs w:val="24"/>
                      <w:lang w:eastAsia="en-US"/>
                    </w:rPr>
                    <m:rPr>
                      <m:nor m:val="on"/>
                    </m:rPr>
                    <m:t>Д</m:t>
                  </m:r>
                </m:num>
                <m:den>
                  <m:r>
                    <w:rPr>
                      <w:rFonts w:ascii="Times New Roman" w:hAnsi="Times New Roman" w:cs="Times New Roman" w:eastAsiaTheme="minorHAnsi"/>
                      <w:sz w:val="24"/>
                      <w:szCs w:val="24"/>
                      <w:lang w:eastAsia="en-US"/>
                    </w:rPr>
                    <m:rPr>
                      <m:nor m:val="on"/>
                    </m:rPr>
                    <m:t>Д1</m:t>
                  </m:r>
                </m:den>
              </m:f>
              <m:r>
                <w:rPr>
                  <w:rFonts w:ascii="Times New Roman" w:hAnsi="Times New Roman" w:cs="Times New Roman" w:eastAsiaTheme="minorHAnsi"/>
                  <w:sz w:val="24"/>
                  <w:szCs w:val="24"/>
                  <w:lang w:eastAsia="en-US"/>
                </w:rPr>
                <m:rPr>
                  <m:nor m:val="on"/>
                </m:rPr>
                <m:t>×100%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– количество организаций отдыха детей и их оздоровления, представивших в министерство достоверные, актуальные и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сведения о своей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Д1 – общее количество организаций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 детей и их оздоровления,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проведены контрольно-надзорные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обязательных требований организациями отдыха детей и их оздоровления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нарушений, выявленных в результате контрольно-надзорных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>
              <m:f>
                <m:fPr>
                  <m:ctrlPr>
                    <w:rPr>
                      <w:rFonts w:ascii="Cambria Math" w:hAnsi="Cambria Math" w:cs="Times New Roman" w:eastAsiaTheme="minorHAnsi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Times New Roman" w:hAnsi="Times New Roman" w:cs="Times New Roman" w:eastAsiaTheme="minorHAnsi"/>
                      <w:sz w:val="24"/>
                      <w:szCs w:val="24"/>
                      <w:lang w:eastAsia="en-US"/>
                    </w:rPr>
                    <m:rPr>
                      <m:nor m:val="on"/>
                    </m:rPr>
                    <m:t>Д</m:t>
                  </m:r>
                </m:num>
                <m:den>
                  <m:r>
                    <w:rPr>
                      <w:rFonts w:ascii="Times New Roman" w:hAnsi="Times New Roman" w:cs="Times New Roman" w:eastAsiaTheme="minorHAnsi"/>
                      <w:sz w:val="24"/>
                      <w:szCs w:val="24"/>
                      <w:lang w:eastAsia="en-US"/>
                    </w:rPr>
                    <m:rPr>
                      <m:nor m:val="on"/>
                    </m:rPr>
                    <m:t>Д1</m:t>
                  </m:r>
                </m:den>
              </m:f>
              <m:r>
                <w:rPr>
                  <w:rFonts w:ascii="Times New Roman" w:hAnsi="Times New Roman" w:cs="Times New Roman" w:eastAsiaTheme="minorHAnsi"/>
                  <w:sz w:val="24"/>
                  <w:szCs w:val="24"/>
                  <w:lang w:eastAsia="en-US"/>
                </w:rPr>
                <m:rPr>
                  <m:nor m:val="on"/>
                </m:rPr>
                <m:t>×100%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– количество устраненных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в результате контрольно-надзорных мероприятий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период, ед.;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Д1 – общее количество выявленных нарушений обязательных требований за отчетный период,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Индикативные показатели, отражающие в какой степени достигнутый уровень результативности контрольно-надзорной деятельности соответствует бюджетным затратам на ее осуществление, а также издержкам, понесенным подконтрольными субъектами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эффективность контрольной (надзорной) деятельности)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023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эффективность контрольной (надзорной)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84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Экнд = Нт / Нп x 100%, где: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Экнд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эффективность контрольной (надзорной) деятельности (%);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нарушений, выявленных в текущем году (ед.);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Нп 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нарушений, выявленных в году, предшествующем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текущему году (ед.).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значений показателя должно предполагать повышение эффективности контрольной (надзорной)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Индикативные показатели, характеризующие различные аспекты 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нтрольно-надзорной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В.2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Индикативные показатели, характеризующие качество проводимых мероприятий в части их направленности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устранение максимального объема потенциального вреда (ущерба) охраняемым законом ценностям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общ=По+Пм, где: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Мобщ – общее количество мероприятий, проведенных в ходе осуществления контрольно-надзорной деятельности (ед.);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– общее количество проведенных проверок в ходе осуществления контрольно-надзорной деятельности (ед.);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– количество проведенных профилактических мероприятий в ходе осуществления контрольно-надзорной деятельности (ед.)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доля организаций, допустивших нарушения (%);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Н1 – количество организаций, в отношении которых за отчетный период были выявлены нарушения (ед.);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 – общее число организаций, в отношении которых были проведены контрольно-надзорные мероприятия за отчетный период плановых проверок (ед.).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динамикой будет снижение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В.2.5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контрольно-надзорных мероприятий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p"/>
                  </m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p"/>
                      </m:rPr>
                      <m:t>П1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p"/>
                      </m:rPr>
                      <m:t>П2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p"/>
                  </m:rPr>
                  <m:t>×100%, где:</m:t>
                </m:r>
              </m:oMath>
            </m:oMathPara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доля организаций, исполнивших предписания (%);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 – количество организаций, исполнивших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едписания (ед.);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 – количество всех проверенных за отчетный период внеплановых проверок (ед.) (по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оверке исполнения предписания).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динамикой будет повышение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общее количество проверок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 = А1 + А2, где: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 – общее количество проверок (ед.);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А1 – количество плановых проверок (ед.);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А2 – количество внеплановых проверок (ед.);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Показатель учитывает суммарное количество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В.3.1.2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общее количество плановых проверок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– количество плановых проверок в соответствии с ежегодным планом проведения плановых проверок юридических лиц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(далее – План)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В.3.1.3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общее количество внеплановых проверок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учитывает суммарное количество внеплановых проверок, проведенных в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подконтрольных организаций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овленным Федеральным законом 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31.07.2020 № 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В.3.1.18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проверок, на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езультаты которых поданы жалобы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rPr>
                  <m:sty m:val="p"/>
                </m:rPr>
                <m:t>Е=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rPr>
                      <m:sty m:val="p"/>
                    </m:rPr>
                    <m:t>Ж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rPr>
                      <m:sty m:val="p"/>
                    </m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rPr>
                  <m:sty m:val="p"/>
                </m:rPr>
                <m:t>×100%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доля проверок в общем количестве проверок, на результаты которых поданы жалобы (%);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– количество проверок, на результаты которых поданы жалобы (ед.);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общее количество проверок (ед.).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динамикой будет снижение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В.3.1.24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проверок, результаты которых были признаны недействительными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rPr>
                  <m:sty m:val="p"/>
                </m:rPr>
                <m:t>Н=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rPr>
                      <m:sty m:val="p"/>
                    </m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rPr>
                      <m:sty m:val="p"/>
                    </m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rPr>
                  <m:sty m:val="p"/>
                </m:rPr>
                <m:t>×100%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доля проверок, результаты которых были признаны недействительными (%);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количество проверок, результаты которых были признаны недействительными (ед.);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общее количество проверок (ед.).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динамикой будет снижение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В.3.2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профилактику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В.3.2.1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профилактических мероприятий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проведенных семинаров и публичных обсуждений правоприменительной практики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В.3.2.2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организаций, в отношении которых проведены профилактические мероприятия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подконтрольных организаций – участников семинаров и публичных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В.3.4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мероприятия, осуществляемые в рамках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В.3.4.1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общее количество подконтрольных субъектов (объектов),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отношении которых осуществляются мониторинговые мероприятия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Корг – количество организаций, включенных в План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В.4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3868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объем задействованных трудовых, материальных и финансовых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В.4.1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финансовых средств, выделяемых в отчетном периоде 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бюджетов всех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ровней на выполнение функций по надзору и контролю 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достоверностью, актуальностью и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полнотой сведений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организациях отдыха детей и их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оздоровления, содержащихся в реестре организаций отдыха детей и их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здоровления (далее – функции по контролю), в том числе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фонд оплаты труда, с учетом начислений, командировочных расходов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 – объем финансовых средств, выделяемых в отчетном периоде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бюджетов всех уровней на выполнение функций по контролю, в том числе на фонд оплаты труда, с учетом начислений, командировочных расходов (млн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В.4.2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штатных единиц, всего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 – количество штатных единиц в министерстве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8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В.4.3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37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штатных единиц, в должностные обязанности которых входит выполн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ение государственной функции по контролю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7489" w:type="dxa"/>
            <w:textDirection w:val="lrTb"/>
            <w:noWrap w:val="false"/>
          </w:tcPr>
          <w:p>
            <w:pPr>
              <w:pStyle w:val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Кштед – количество штатных единиц, в должностные обязанности которых входит выполнение государственной функции по контролю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/>
    </w:p>
    <w:sectPr>
      <w:footnotePr/>
      <w:endnotePr/>
      <w:type w:val="nextPage"/>
      <w:pgSz w:w="16834" w:h="11909" w:orient="landscape"/>
      <w:pgMar w:top="1418" w:right="1134" w:bottom="567" w:left="1134" w:header="680" w:footer="68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63954</w:t>
    </w:r>
    <w:r>
      <w:rPr>
        <w:sz w:val="16"/>
        <w:szCs w:val="16"/>
      </w:rPr>
      <w:t xml:space="preserve">/</w:t>
    </w:r>
    <w:sdt>
      <w:sdtPr>
        <w15:appearance w15:val="boundingBox"/>
        <w:id w:val="-395514920"/>
        <w:placeholder>
          <w:docPart w:val="DefaultPlaceholder_-1854013438"/>
        </w:placeholder>
        <w:date w:fullDate="2025-04-28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28.04.2025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character" w:styleId="35">
    <w:name w:val="Title Char"/>
    <w:basedOn w:val="700"/>
    <w:link w:val="738"/>
    <w:uiPriority w:val="10"/>
    <w:rPr>
      <w:sz w:val="48"/>
      <w:szCs w:val="48"/>
    </w:rPr>
  </w:style>
  <w:style w:type="character" w:styleId="37">
    <w:name w:val="Subtitle Char"/>
    <w:basedOn w:val="700"/>
    <w:link w:val="771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6"/>
    <w:uiPriority w:val="99"/>
  </w:style>
  <w:style w:type="character" w:styleId="45">
    <w:name w:val="Footer Char"/>
    <w:basedOn w:val="700"/>
    <w:link w:val="71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before="100" w:after="100"/>
    </w:pPr>
    <w:rPr>
      <w:sz w:val="24"/>
    </w:rPr>
  </w:style>
  <w:style w:type="paragraph" w:styleId="691">
    <w:name w:val="Heading 1"/>
    <w:basedOn w:val="690"/>
    <w:next w:val="690"/>
    <w:link w:val="70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70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3">
    <w:name w:val="Heading 3"/>
    <w:basedOn w:val="690"/>
    <w:next w:val="690"/>
    <w:link w:val="70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4">
    <w:name w:val="Heading 4"/>
    <w:basedOn w:val="690"/>
    <w:next w:val="690"/>
    <w:link w:val="70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5">
    <w:name w:val="Heading 5"/>
    <w:basedOn w:val="690"/>
    <w:next w:val="690"/>
    <w:link w:val="70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6">
    <w:name w:val="Heading 6"/>
    <w:basedOn w:val="690"/>
    <w:next w:val="690"/>
    <w:link w:val="70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7">
    <w:name w:val="Heading 7"/>
    <w:basedOn w:val="690"/>
    <w:next w:val="690"/>
    <w:link w:val="70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8">
    <w:name w:val="Heading 8"/>
    <w:basedOn w:val="690"/>
    <w:next w:val="690"/>
    <w:link w:val="71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9">
    <w:name w:val="Heading 9"/>
    <w:basedOn w:val="690"/>
    <w:next w:val="690"/>
    <w:link w:val="71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9"/>
    <w:rPr>
      <w:rFonts w:ascii="Cambria" w:hAnsi="Cambria" w:cs="Times New Roman"/>
      <w:b/>
      <w:sz w:val="32"/>
    </w:rPr>
  </w:style>
  <w:style w:type="character" w:styleId="704" w:customStyle="1">
    <w:name w:val="Заголовок 2 Знак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705" w:customStyle="1">
    <w:name w:val="Заголовок 3 Знак"/>
    <w:link w:val="693"/>
    <w:uiPriority w:val="99"/>
    <w:semiHidden/>
    <w:rPr>
      <w:rFonts w:ascii="Cambria" w:hAnsi="Cambria" w:cs="Times New Roman"/>
      <w:b/>
      <w:sz w:val="26"/>
    </w:rPr>
  </w:style>
  <w:style w:type="character" w:styleId="706" w:customStyle="1">
    <w:name w:val="Заголовок 4 Знак"/>
    <w:link w:val="694"/>
    <w:uiPriority w:val="99"/>
    <w:semiHidden/>
    <w:rPr>
      <w:rFonts w:ascii="Calibri" w:hAnsi="Calibri" w:cs="Times New Roman"/>
      <w:b/>
      <w:sz w:val="28"/>
    </w:rPr>
  </w:style>
  <w:style w:type="character" w:styleId="707" w:customStyle="1">
    <w:name w:val="Заголовок 5 Знак"/>
    <w:link w:val="695"/>
    <w:uiPriority w:val="99"/>
    <w:semiHidden/>
    <w:rPr>
      <w:rFonts w:ascii="Calibri" w:hAnsi="Calibri" w:cs="Times New Roman"/>
      <w:b/>
      <w:i/>
      <w:sz w:val="26"/>
    </w:rPr>
  </w:style>
  <w:style w:type="character" w:styleId="708" w:customStyle="1">
    <w:name w:val="Заголовок 6 Знак"/>
    <w:link w:val="696"/>
    <w:uiPriority w:val="99"/>
    <w:semiHidden/>
    <w:rPr>
      <w:rFonts w:ascii="Calibri" w:hAnsi="Calibri" w:cs="Times New Roman"/>
      <w:b/>
    </w:rPr>
  </w:style>
  <w:style w:type="character" w:styleId="709" w:customStyle="1">
    <w:name w:val="Заголовок 7 Знак"/>
    <w:link w:val="697"/>
    <w:uiPriority w:val="99"/>
    <w:semiHidden/>
    <w:rPr>
      <w:rFonts w:ascii="Calibri" w:hAnsi="Calibri" w:cs="Times New Roman"/>
      <w:sz w:val="24"/>
    </w:rPr>
  </w:style>
  <w:style w:type="character" w:styleId="710" w:customStyle="1">
    <w:name w:val="Заголовок 8 Знак"/>
    <w:link w:val="698"/>
    <w:uiPriority w:val="99"/>
    <w:semiHidden/>
    <w:rPr>
      <w:rFonts w:ascii="Calibri" w:hAnsi="Calibri" w:cs="Times New Roman"/>
      <w:i/>
      <w:sz w:val="24"/>
    </w:rPr>
  </w:style>
  <w:style w:type="character" w:styleId="711" w:customStyle="1">
    <w:name w:val="Заголовок 9 Знак"/>
    <w:link w:val="699"/>
    <w:uiPriority w:val="99"/>
    <w:semiHidden/>
    <w:rPr>
      <w:rFonts w:ascii="Cambria" w:hAnsi="Cambria" w:cs="Times New Roman"/>
    </w:rPr>
  </w:style>
  <w:style w:type="paragraph" w:styleId="712">
    <w:name w:val="Balloon Text"/>
    <w:basedOn w:val="690"/>
    <w:link w:val="71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link w:val="712"/>
    <w:uiPriority w:val="99"/>
    <w:semiHidden/>
    <w:rPr>
      <w:rFonts w:ascii="Tahoma" w:hAnsi="Tahoma" w:cs="Times New Roman"/>
      <w:sz w:val="16"/>
    </w:rPr>
  </w:style>
  <w:style w:type="paragraph" w:styleId="714">
    <w:name w:val="Body Text"/>
    <w:basedOn w:val="690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link w:val="714"/>
    <w:uiPriority w:val="99"/>
    <w:rPr>
      <w:rFonts w:cs="Times New Roman"/>
      <w:sz w:val="20"/>
    </w:rPr>
  </w:style>
  <w:style w:type="paragraph" w:styleId="716">
    <w:name w:val="Header"/>
    <w:basedOn w:val="690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 w:customStyle="1">
    <w:name w:val="Верхний колонтитул Знак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Footer"/>
    <w:basedOn w:val="690"/>
    <w:link w:val="71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9" w:customStyle="1">
    <w:name w:val="Нижний колонтитул Знак"/>
    <w:link w:val="718"/>
    <w:uiPriority w:val="99"/>
    <w:rPr>
      <w:rFonts w:cs="Times New Roman"/>
      <w:sz w:val="28"/>
      <w:lang w:val="ru-RU" w:eastAsia="ru-RU"/>
    </w:rPr>
  </w:style>
  <w:style w:type="paragraph" w:styleId="720">
    <w:name w:val="Body Text 2"/>
    <w:basedOn w:val="690"/>
    <w:link w:val="721"/>
    <w:uiPriority w:val="99"/>
    <w:pPr>
      <w:jc w:val="center"/>
      <w:spacing w:before="0" w:after="0"/>
    </w:pPr>
    <w:rPr>
      <w:sz w:val="28"/>
      <w:szCs w:val="28"/>
    </w:rPr>
  </w:style>
  <w:style w:type="character" w:styleId="721" w:customStyle="1">
    <w:name w:val="Основной текст 2 Знак"/>
    <w:link w:val="720"/>
    <w:uiPriority w:val="99"/>
    <w:semiHidden/>
    <w:rPr>
      <w:rFonts w:cs="Times New Roman"/>
      <w:sz w:val="20"/>
    </w:rPr>
  </w:style>
  <w:style w:type="paragraph" w:styleId="722">
    <w:name w:val="Body Text Indent 2"/>
    <w:basedOn w:val="690"/>
    <w:link w:val="72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3" w:customStyle="1">
    <w:name w:val="Основной текст с отступом 2 Знак"/>
    <w:link w:val="722"/>
    <w:uiPriority w:val="99"/>
    <w:semiHidden/>
    <w:rPr>
      <w:rFonts w:cs="Times New Roman"/>
      <w:sz w:val="20"/>
    </w:rPr>
  </w:style>
  <w:style w:type="character" w:styleId="724">
    <w:name w:val="page number"/>
    <w:uiPriority w:val="99"/>
    <w:rPr>
      <w:rFonts w:cs="Times New Roman"/>
    </w:rPr>
  </w:style>
  <w:style w:type="paragraph" w:styleId="725">
    <w:name w:val="Body Text Indent 3"/>
    <w:basedOn w:val="690"/>
    <w:link w:val="72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6" w:customStyle="1">
    <w:name w:val="Основной текст с отступом 3 Знак"/>
    <w:link w:val="725"/>
    <w:uiPriority w:val="99"/>
    <w:semiHidden/>
    <w:rPr>
      <w:rFonts w:cs="Times New Roman"/>
      <w:sz w:val="16"/>
    </w:rPr>
  </w:style>
  <w:style w:type="paragraph" w:styleId="727" w:customStyle="1">
    <w:name w:val="ConsNormal"/>
    <w:pPr>
      <w:ind w:firstLine="720"/>
    </w:pPr>
    <w:rPr>
      <w:rFonts w:ascii="Arial" w:hAnsi="Arial" w:cs="Arial"/>
    </w:rPr>
  </w:style>
  <w:style w:type="paragraph" w:styleId="728" w:customStyle="1">
    <w:name w:val="ConsNonformat"/>
    <w:rPr>
      <w:rFonts w:ascii="Courier New" w:hAnsi="Courier New" w:cs="Courier New"/>
    </w:rPr>
  </w:style>
  <w:style w:type="paragraph" w:styleId="7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0">
    <w:name w:val="Body Text 3"/>
    <w:basedOn w:val="690"/>
    <w:link w:val="731"/>
    <w:uiPriority w:val="99"/>
    <w:pPr>
      <w:jc w:val="both"/>
      <w:spacing w:before="0" w:after="0"/>
      <w:widowControl w:val="off"/>
    </w:pPr>
    <w:rPr>
      <w:szCs w:val="24"/>
    </w:rPr>
  </w:style>
  <w:style w:type="character" w:styleId="731" w:customStyle="1">
    <w:name w:val="Основной текст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Заголовок4"/>
    <w:basedOn w:val="691"/>
    <w:next w:val="69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3" w:customStyle="1">
    <w:name w:val="ConsPlusNormal"/>
    <w:link w:val="802"/>
    <w:qFormat/>
    <w:pPr>
      <w:ind w:firstLine="720"/>
      <w:widowControl w:val="off"/>
    </w:pPr>
    <w:rPr>
      <w:rFonts w:ascii="Arial" w:hAnsi="Arial" w:cs="Arial"/>
    </w:rPr>
  </w:style>
  <w:style w:type="paragraph" w:styleId="7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36">
    <w:name w:val="Normal (Web)"/>
    <w:basedOn w:val="690"/>
    <w:uiPriority w:val="99"/>
    <w:pPr>
      <w:spacing w:beforeAutospacing="1" w:afterAutospacing="1"/>
    </w:pPr>
    <w:rPr>
      <w:color w:val="000000"/>
      <w:szCs w:val="24"/>
    </w:rPr>
  </w:style>
  <w:style w:type="paragraph" w:styleId="737" w:customStyle="1">
    <w:name w:val="ConsPlusTitle"/>
    <w:rPr>
      <w:b/>
      <w:bCs/>
      <w:sz w:val="28"/>
      <w:szCs w:val="28"/>
    </w:rPr>
  </w:style>
  <w:style w:type="paragraph" w:styleId="738">
    <w:name w:val="Title"/>
    <w:basedOn w:val="690"/>
    <w:link w:val="73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39" w:customStyle="1">
    <w:name w:val="Заголовок Знак"/>
    <w:link w:val="738"/>
    <w:uiPriority w:val="99"/>
    <w:rPr>
      <w:rFonts w:ascii="Cambria" w:hAnsi="Cambria" w:cs="Times New Roman"/>
      <w:b/>
      <w:sz w:val="32"/>
    </w:rPr>
  </w:style>
  <w:style w:type="paragraph" w:styleId="740" w:customStyle="1">
    <w:name w:val="Термин"/>
    <w:basedOn w:val="690"/>
    <w:next w:val="690"/>
    <w:uiPriority w:val="99"/>
    <w:pPr>
      <w:spacing w:before="0" w:after="0"/>
    </w:pPr>
    <w:rPr>
      <w:szCs w:val="24"/>
      <w:lang w:val="pl-PL"/>
    </w:rPr>
  </w:style>
  <w:style w:type="paragraph" w:styleId="741" w:customStyle="1">
    <w:name w:val="H1"/>
    <w:basedOn w:val="690"/>
    <w:next w:val="69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2" w:customStyle="1">
    <w:name w:val="Список определений"/>
    <w:basedOn w:val="690"/>
    <w:next w:val="740"/>
    <w:uiPriority w:val="99"/>
    <w:pPr>
      <w:ind w:left="360"/>
      <w:spacing w:before="0" w:after="0"/>
    </w:pPr>
    <w:rPr>
      <w:szCs w:val="24"/>
      <w:lang w:val="pl-PL"/>
    </w:rPr>
  </w:style>
  <w:style w:type="paragraph" w:styleId="7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4" w:customStyle="1">
    <w:name w:val="Preformat"/>
    <w:uiPriority w:val="99"/>
    <w:rPr>
      <w:rFonts w:ascii="Courier New" w:hAnsi="Courier New" w:cs="Courier New"/>
    </w:rPr>
  </w:style>
  <w:style w:type="paragraph" w:styleId="745">
    <w:name w:val="Block Text"/>
    <w:basedOn w:val="69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6" w:customStyle="1">
    <w:name w:val="Цветовое выделение"/>
    <w:uiPriority w:val="99"/>
    <w:rPr>
      <w:b/>
      <w:color w:val="000080"/>
      <w:sz w:val="20"/>
    </w:rPr>
  </w:style>
  <w:style w:type="character" w:styleId="747" w:customStyle="1">
    <w:name w:val="Не вступил в силу"/>
    <w:uiPriority w:val="99"/>
    <w:rPr>
      <w:color w:val="008080"/>
      <w:sz w:val="20"/>
    </w:rPr>
  </w:style>
  <w:style w:type="paragraph" w:styleId="748" w:customStyle="1">
    <w:name w:val="Таблицы (моноширинный)"/>
    <w:basedOn w:val="690"/>
    <w:next w:val="69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9">
    <w:name w:val="Plain Text"/>
    <w:basedOn w:val="690"/>
    <w:link w:val="75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0" w:customStyle="1">
    <w:name w:val="Текст Знак"/>
    <w:link w:val="749"/>
    <w:uiPriority w:val="99"/>
    <w:semiHidden/>
    <w:rPr>
      <w:rFonts w:ascii="Courier New" w:hAnsi="Courier New" w:cs="Times New Roman"/>
      <w:sz w:val="20"/>
    </w:rPr>
  </w:style>
  <w:style w:type="paragraph" w:styleId="751">
    <w:name w:val="footnote text"/>
    <w:basedOn w:val="690"/>
    <w:link w:val="752"/>
    <w:uiPriority w:val="99"/>
    <w:semiHidden/>
    <w:pPr>
      <w:spacing w:before="0" w:after="0"/>
    </w:pPr>
    <w:rPr>
      <w:sz w:val="20"/>
    </w:rPr>
  </w:style>
  <w:style w:type="character" w:styleId="752" w:customStyle="1">
    <w:name w:val="Текст сноски Знак"/>
    <w:link w:val="751"/>
    <w:uiPriority w:val="99"/>
    <w:semiHidden/>
    <w:rPr>
      <w:rFonts w:cs="Times New Roman"/>
      <w:sz w:val="20"/>
    </w:rPr>
  </w:style>
  <w:style w:type="paragraph" w:styleId="7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54" w:customStyle="1">
    <w:name w:val="Основной шрифт абзаца1"/>
    <w:uiPriority w:val="99"/>
    <w:rPr>
      <w:sz w:val="20"/>
    </w:rPr>
  </w:style>
  <w:style w:type="paragraph" w:styleId="755" w:customStyle="1">
    <w:name w:val="Îñíîâíîé òåêñò"/>
    <w:basedOn w:val="756"/>
    <w:uiPriority w:val="99"/>
    <w:rPr>
      <w:sz w:val="28"/>
      <w:szCs w:val="28"/>
    </w:rPr>
  </w:style>
  <w:style w:type="paragraph" w:styleId="756" w:customStyle="1">
    <w:name w:val="Îáû÷íûé"/>
    <w:uiPriority w:val="99"/>
    <w:rPr>
      <w:lang w:eastAsia="ar-SA"/>
    </w:rPr>
  </w:style>
  <w:style w:type="character" w:styleId="7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58">
    <w:name w:val="Body Text Indent"/>
    <w:basedOn w:val="690"/>
    <w:link w:val="759"/>
    <w:uiPriority w:val="99"/>
    <w:pPr>
      <w:ind w:left="283"/>
      <w:spacing w:before="0" w:after="120"/>
    </w:pPr>
    <w:rPr>
      <w:sz w:val="28"/>
      <w:szCs w:val="28"/>
    </w:rPr>
  </w:style>
  <w:style w:type="character" w:styleId="759" w:customStyle="1">
    <w:name w:val="Основной текст с отступом Знак"/>
    <w:link w:val="758"/>
    <w:uiPriority w:val="99"/>
    <w:semiHidden/>
    <w:rPr>
      <w:rFonts w:cs="Times New Roman"/>
      <w:sz w:val="20"/>
    </w:rPr>
  </w:style>
  <w:style w:type="table" w:styleId="76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1">
    <w:name w:val="footnote reference"/>
    <w:uiPriority w:val="99"/>
    <w:semiHidden/>
    <w:rPr>
      <w:rFonts w:cs="Times New Roman"/>
      <w:vertAlign w:val="superscript"/>
    </w:rPr>
  </w:style>
  <w:style w:type="paragraph" w:styleId="762" w:customStyle="1">
    <w:name w:val="Прижатый влево"/>
    <w:basedOn w:val="690"/>
    <w:next w:val="69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4" w:customStyle="1">
    <w:name w:val="заголовок 1"/>
    <w:basedOn w:val="690"/>
    <w:next w:val="69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5" w:customStyle="1">
    <w:name w:val="Кому"/>
    <w:basedOn w:val="69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6" w:customStyle="1">
    <w:name w:val="заголовок 2"/>
    <w:basedOn w:val="690"/>
    <w:next w:val="69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7" w:customStyle="1">
    <w:name w:val="Цитаты"/>
    <w:basedOn w:val="690"/>
    <w:uiPriority w:val="99"/>
    <w:pPr>
      <w:ind w:left="360" w:right="360"/>
    </w:pPr>
    <w:rPr>
      <w:szCs w:val="24"/>
    </w:rPr>
  </w:style>
  <w:style w:type="character" w:styleId="768">
    <w:name w:val="Hyperlink"/>
    <w:uiPriority w:val="99"/>
    <w:rPr>
      <w:rFonts w:cs="Times New Roman"/>
      <w:color w:val="0000ff"/>
      <w:u w:val="single"/>
    </w:rPr>
  </w:style>
  <w:style w:type="paragraph" w:styleId="769" w:customStyle="1">
    <w:name w:val="заголовок 3"/>
    <w:basedOn w:val="690"/>
    <w:next w:val="69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0">
    <w:name w:val="Strong"/>
    <w:uiPriority w:val="99"/>
    <w:qFormat/>
    <w:rPr>
      <w:rFonts w:cs="Times New Roman"/>
      <w:b/>
    </w:rPr>
  </w:style>
  <w:style w:type="paragraph" w:styleId="771">
    <w:name w:val="Subtitle"/>
    <w:basedOn w:val="690"/>
    <w:link w:val="77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2" w:customStyle="1">
    <w:name w:val="Подзаголовок Знак"/>
    <w:link w:val="771"/>
    <w:uiPriority w:val="99"/>
    <w:rPr>
      <w:rFonts w:ascii="Cambria" w:hAnsi="Cambria" w:cs="Times New Roman"/>
      <w:sz w:val="24"/>
    </w:rPr>
  </w:style>
  <w:style w:type="paragraph" w:styleId="773" w:customStyle="1">
    <w:name w:val="заголовок 6"/>
    <w:basedOn w:val="690"/>
    <w:next w:val="69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4" w:customStyle="1">
    <w:name w:val="Гиперссылка1"/>
    <w:uiPriority w:val="99"/>
    <w:rPr>
      <w:color w:val="0000ff"/>
      <w:u w:val="none"/>
    </w:rPr>
  </w:style>
  <w:style w:type="paragraph" w:styleId="775">
    <w:name w:val="envelope return"/>
    <w:basedOn w:val="690"/>
    <w:uiPriority w:val="99"/>
    <w:pPr>
      <w:ind w:right="57"/>
      <w:jc w:val="both"/>
      <w:spacing w:before="0" w:after="0"/>
    </w:pPr>
    <w:rPr>
      <w:szCs w:val="24"/>
    </w:rPr>
  </w:style>
  <w:style w:type="character" w:styleId="776" w:customStyle="1">
    <w:name w:val="text11"/>
    <w:uiPriority w:val="99"/>
    <w:rPr>
      <w:rFonts w:ascii="Arial" w:hAnsi="Arial"/>
      <w:color w:val="auto"/>
      <w:sz w:val="20"/>
    </w:rPr>
  </w:style>
  <w:style w:type="paragraph" w:styleId="777" w:customStyle="1">
    <w:name w:val="заголовок 5"/>
    <w:basedOn w:val="690"/>
    <w:next w:val="69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8" w:customStyle="1">
    <w:name w:val="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 Знак Знак 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Об"/>
    <w:uiPriority w:val="99"/>
    <w:pPr>
      <w:widowControl w:val="off"/>
    </w:pPr>
  </w:style>
  <w:style w:type="paragraph" w:styleId="781" w:customStyle="1">
    <w:name w:val="Прикольный"/>
    <w:basedOn w:val="780"/>
    <w:uiPriority w:val="99"/>
  </w:style>
  <w:style w:type="paragraph" w:styleId="782" w:customStyle="1">
    <w:name w:val="Знак Знак Знак Знак1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2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Знак Знак Знак Знак1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 w:customStyle="1">
    <w:name w:val="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 w:customStyle="1">
    <w:name w:val="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 Знак Знак 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1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2" w:customStyle="1">
    <w:name w:val="????????"/>
    <w:basedOn w:val="69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94" w:customStyle="1">
    <w:name w:val="Основной текст (4)"/>
    <w:link w:val="795"/>
    <w:uiPriority w:val="99"/>
    <w:rPr>
      <w:b/>
      <w:sz w:val="18"/>
    </w:rPr>
  </w:style>
  <w:style w:type="paragraph" w:styleId="795" w:customStyle="1">
    <w:name w:val="Основной текст (4)1"/>
    <w:basedOn w:val="690"/>
    <w:link w:val="79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6" w:customStyle="1">
    <w:name w:val="Основной текст (3)"/>
    <w:link w:val="797"/>
    <w:uiPriority w:val="99"/>
    <w:rPr>
      <w:sz w:val="28"/>
    </w:rPr>
  </w:style>
  <w:style w:type="paragraph" w:styleId="797" w:customStyle="1">
    <w:name w:val="Основной текст (3)1"/>
    <w:basedOn w:val="690"/>
    <w:link w:val="79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8" w:customStyle="1">
    <w:name w:val="Текст (лев. подпись)"/>
    <w:basedOn w:val="690"/>
    <w:next w:val="69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9" w:customStyle="1">
    <w:name w:val="Текст (прав. подпись)"/>
    <w:basedOn w:val="690"/>
    <w:next w:val="69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0" w:customStyle="1">
    <w:name w:val="Font Style12"/>
    <w:rPr>
      <w:rFonts w:ascii="Times New Roman" w:hAnsi="Times New Roman"/>
      <w:sz w:val="18"/>
    </w:rPr>
  </w:style>
  <w:style w:type="character" w:styleId="801">
    <w:name w:val="Placeholder Text"/>
    <w:uiPriority w:val="99"/>
    <w:semiHidden/>
    <w:rPr>
      <w:color w:val="808080"/>
    </w:rPr>
  </w:style>
  <w:style w:type="character" w:styleId="802" w:customStyle="1">
    <w:name w:val="ConsPlusNormal Знак"/>
    <w:link w:val="733"/>
    <w:qFormat/>
    <w:rPr>
      <w:rFonts w:ascii="Arial" w:hAnsi="Arial" w:cs="Arial"/>
    </w:rPr>
  </w:style>
  <w:style w:type="character" w:styleId="803">
    <w:name w:val="annotation reference"/>
    <w:basedOn w:val="700"/>
    <w:uiPriority w:val="99"/>
    <w:semiHidden/>
    <w:unhideWhenUsed/>
    <w:qFormat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1239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5"/>
    <w:next w:val="1235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36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5"/>
    <w:next w:val="1235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36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5"/>
    <w:next w:val="1235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36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5"/>
    <w:next w:val="1235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36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5"/>
    <w:next w:val="1235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36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5"/>
    <w:next w:val="1235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36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5"/>
    <w:next w:val="1235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36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5"/>
    <w:next w:val="1235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36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5"/>
    <w:next w:val="1235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36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5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5"/>
    <w:next w:val="1235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36"/>
    <w:link w:val="271"/>
    <w:uiPriority w:val="10"/>
    <w:rPr>
      <w:sz w:val="48"/>
      <w:szCs w:val="48"/>
    </w:rPr>
  </w:style>
  <w:style w:type="paragraph" w:styleId="273">
    <w:name w:val="Subtitle"/>
    <w:basedOn w:val="1235"/>
    <w:next w:val="1235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36"/>
    <w:link w:val="273"/>
    <w:uiPriority w:val="11"/>
    <w:rPr>
      <w:sz w:val="24"/>
      <w:szCs w:val="24"/>
    </w:rPr>
  </w:style>
  <w:style w:type="paragraph" w:styleId="275">
    <w:name w:val="Quote"/>
    <w:basedOn w:val="1235"/>
    <w:next w:val="1235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5"/>
    <w:next w:val="1235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5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36"/>
    <w:link w:val="279"/>
    <w:uiPriority w:val="99"/>
  </w:style>
  <w:style w:type="paragraph" w:styleId="281">
    <w:name w:val="Footer"/>
    <w:basedOn w:val="1235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36"/>
    <w:link w:val="281"/>
    <w:uiPriority w:val="99"/>
  </w:style>
  <w:style w:type="paragraph" w:styleId="283">
    <w:name w:val="Caption"/>
    <w:basedOn w:val="1235"/>
    <w:next w:val="12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2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5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36"/>
    <w:uiPriority w:val="99"/>
    <w:unhideWhenUsed/>
    <w:rPr>
      <w:vertAlign w:val="superscript"/>
    </w:rPr>
  </w:style>
  <w:style w:type="paragraph" w:styleId="415">
    <w:name w:val="endnote text"/>
    <w:basedOn w:val="1235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36"/>
    <w:uiPriority w:val="99"/>
    <w:semiHidden/>
    <w:unhideWhenUsed/>
    <w:rPr>
      <w:vertAlign w:val="superscript"/>
    </w:rPr>
  </w:style>
  <w:style w:type="paragraph" w:styleId="418">
    <w:name w:val="toc 1"/>
    <w:basedOn w:val="1235"/>
    <w:next w:val="1235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5"/>
    <w:next w:val="1235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5"/>
    <w:next w:val="1235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5"/>
    <w:next w:val="1235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5"/>
    <w:next w:val="1235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5"/>
    <w:next w:val="1235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5"/>
    <w:next w:val="1235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5"/>
    <w:next w:val="1235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5"/>
    <w:next w:val="1235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5"/>
    <w:next w:val="1235"/>
    <w:uiPriority w:val="99"/>
    <w:unhideWhenUsed/>
    <w:pPr>
      <w:spacing w:after="0" w:afterAutospacing="0"/>
    </w:pPr>
  </w:style>
  <w:style w:type="paragraph" w:styleId="1235" w:default="1">
    <w:name w:val="Normal"/>
    <w:qFormat/>
  </w:style>
  <w:style w:type="character" w:styleId="1236" w:default="1">
    <w:name w:val="Default Paragraph Font"/>
    <w:uiPriority w:val="1"/>
    <w:semiHidden/>
    <w:unhideWhenUsed/>
  </w:style>
  <w:style w:type="table" w:styleId="12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8" w:default="1">
    <w:name w:val="No List"/>
    <w:uiPriority w:val="99"/>
    <w:semiHidden/>
    <w:unhideWhenUsed/>
  </w:style>
  <w:style w:type="character" w:styleId="1239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06828-2927-42CB-B36E-E23892F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6</cp:revision>
  <dcterms:created xsi:type="dcterms:W3CDTF">2024-03-14T07:34:00Z</dcterms:created>
  <dcterms:modified xsi:type="dcterms:W3CDTF">2025-04-29T11:31:55Z</dcterms:modified>
</cp:coreProperties>
</file>