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02" w:rsidRDefault="00967702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967702" w:rsidRDefault="00967702">
      <w:pPr>
        <w:pStyle w:val="ConsPlusTitle"/>
        <w:jc w:val="center"/>
      </w:pPr>
    </w:p>
    <w:p w:rsidR="00967702" w:rsidRDefault="00967702">
      <w:pPr>
        <w:pStyle w:val="ConsPlusTitle"/>
        <w:jc w:val="center"/>
      </w:pPr>
      <w:r>
        <w:t>ФЕДЕРАЛЬНАЯ СЛУЖБА ПО ТРУДУ И ЗАНЯТОСТИ</w:t>
      </w:r>
    </w:p>
    <w:p w:rsidR="00967702" w:rsidRDefault="00967702">
      <w:pPr>
        <w:pStyle w:val="ConsPlusTitle"/>
        <w:jc w:val="center"/>
      </w:pPr>
    </w:p>
    <w:p w:rsidR="00967702" w:rsidRDefault="00967702">
      <w:pPr>
        <w:pStyle w:val="ConsPlusTitle"/>
        <w:jc w:val="center"/>
      </w:pPr>
      <w:r>
        <w:t>ПРИКАЗ</w:t>
      </w:r>
    </w:p>
    <w:p w:rsidR="00967702" w:rsidRDefault="00967702">
      <w:pPr>
        <w:pStyle w:val="ConsPlusTitle"/>
        <w:jc w:val="center"/>
      </w:pPr>
      <w:r>
        <w:t>от 20 апреля 2022 г. N 101</w:t>
      </w:r>
    </w:p>
    <w:p w:rsidR="00967702" w:rsidRDefault="00967702">
      <w:pPr>
        <w:pStyle w:val="ConsPlusTitle"/>
        <w:jc w:val="center"/>
      </w:pPr>
    </w:p>
    <w:p w:rsidR="00967702" w:rsidRDefault="00967702">
      <w:pPr>
        <w:pStyle w:val="ConsPlusTitle"/>
        <w:jc w:val="center"/>
      </w:pPr>
      <w:r>
        <w:t>ОБ УТВЕРЖДЕНИИ РУКОВОДСТВ</w:t>
      </w:r>
    </w:p>
    <w:p w:rsidR="00967702" w:rsidRDefault="00967702">
      <w:pPr>
        <w:pStyle w:val="ConsPlusTitle"/>
        <w:jc w:val="center"/>
      </w:pPr>
      <w:r>
        <w:t xml:space="preserve">ПО СОБЛЮДЕНИЮ ОБЯЗАТЕЛЬНЫХ ТРЕБОВАНИЙ В СФЕРЕ </w:t>
      </w:r>
      <w:proofErr w:type="gramStart"/>
      <w:r>
        <w:t>СОЦИАЛЬНОГО</w:t>
      </w:r>
      <w:proofErr w:type="gramEnd"/>
    </w:p>
    <w:p w:rsidR="00967702" w:rsidRDefault="00967702">
      <w:pPr>
        <w:pStyle w:val="ConsPlusTitle"/>
        <w:jc w:val="center"/>
      </w:pPr>
      <w:r>
        <w:t xml:space="preserve">ОБСЛУЖИВАНИЯ И ОКАЗАНИЯ ГРАЖДАНАМ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967702" w:rsidRDefault="00967702">
      <w:pPr>
        <w:pStyle w:val="ConsPlusTitle"/>
        <w:jc w:val="center"/>
      </w:pPr>
      <w:r>
        <w:t>ПОМОЩИ В ВИДЕ ПРЕДОСТАВЛЕНИЯ СОЦИАЛЬНЫХ УСЛУГ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14</w:t>
        </w:r>
      </w:hyperlink>
      <w:r>
        <w:t xml:space="preserve"> Федерального закона от 31 июля 2020 г. N 247-ФЗ "Об обязательных требованиях в Российской Федерации" (Собрание законодательства Российской Федерации, 2020, N 31, ст. 5007; </w:t>
      </w:r>
      <w:proofErr w:type="gramStart"/>
      <w:r>
        <w:t xml:space="preserve">2021, N 24, ст. 4188) и </w:t>
      </w:r>
      <w:hyperlink r:id="rId6">
        <w:r>
          <w:rPr>
            <w:color w:val="0000FF"/>
          </w:rPr>
          <w:t>пунктом 5 части 3 статьи 46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8415) приказываю: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Руководство</w:t>
        </w:r>
      </w:hyperlink>
      <w:r>
        <w:t xml:space="preserve"> по соблюдению обязательных требований в сфере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1.2. </w:t>
      </w:r>
      <w:hyperlink w:anchor="P189">
        <w:r>
          <w:rPr>
            <w:color w:val="0000FF"/>
          </w:rPr>
          <w:t>Руководство</w:t>
        </w:r>
      </w:hyperlink>
      <w:r>
        <w:t xml:space="preserve"> по соблюдению обязательных требований в сфере оказания гражданам государственной социальной помощи в виде предоставления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Федеральной службы по труду и занятости Д.А. Васильева.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jc w:val="right"/>
      </w:pPr>
      <w:r>
        <w:t>Руководитель</w:t>
      </w:r>
    </w:p>
    <w:p w:rsidR="00967702" w:rsidRDefault="00967702">
      <w:pPr>
        <w:pStyle w:val="ConsPlusNormal"/>
        <w:jc w:val="right"/>
      </w:pPr>
      <w:r>
        <w:t>М.Ю.ИВАНКОВ</w:t>
      </w: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Normal"/>
        <w:jc w:val="right"/>
        <w:outlineLvl w:val="0"/>
      </w:pPr>
      <w:r>
        <w:t>Утверждено</w:t>
      </w:r>
    </w:p>
    <w:p w:rsidR="00967702" w:rsidRDefault="00967702">
      <w:pPr>
        <w:pStyle w:val="ConsPlusNormal"/>
        <w:jc w:val="right"/>
      </w:pPr>
      <w:r>
        <w:t>приказом Федеральной службы</w:t>
      </w:r>
    </w:p>
    <w:p w:rsidR="00967702" w:rsidRDefault="00967702">
      <w:pPr>
        <w:pStyle w:val="ConsPlusNormal"/>
        <w:jc w:val="right"/>
      </w:pPr>
      <w:r>
        <w:t>по труду и занятости</w:t>
      </w:r>
    </w:p>
    <w:p w:rsidR="00967702" w:rsidRDefault="00967702">
      <w:pPr>
        <w:pStyle w:val="ConsPlusNormal"/>
        <w:jc w:val="right"/>
      </w:pPr>
      <w:r>
        <w:t>от 20 апреля 2022 г. N 101</w:t>
      </w:r>
    </w:p>
    <w:p w:rsidR="00967702" w:rsidRDefault="00967702">
      <w:pPr>
        <w:pStyle w:val="ConsPlusNormal"/>
        <w:jc w:val="right"/>
      </w:pPr>
    </w:p>
    <w:p w:rsidR="00967702" w:rsidRDefault="00967702">
      <w:pPr>
        <w:pStyle w:val="ConsPlusTitle"/>
        <w:jc w:val="center"/>
      </w:pPr>
      <w:bookmarkStart w:id="1" w:name="P31"/>
      <w:bookmarkEnd w:id="1"/>
      <w:r>
        <w:t>РУКОВОДСТВО</w:t>
      </w:r>
    </w:p>
    <w:p w:rsidR="00967702" w:rsidRDefault="00967702">
      <w:pPr>
        <w:pStyle w:val="ConsPlusTitle"/>
        <w:jc w:val="center"/>
      </w:pPr>
      <w:r>
        <w:t>ПО СОБЛЮДЕНИЮ ОБЯЗАТЕЛЬНЫХ ТРЕБОВАНИЙ В СФЕРЕ</w:t>
      </w:r>
    </w:p>
    <w:p w:rsidR="00967702" w:rsidRDefault="00967702">
      <w:pPr>
        <w:pStyle w:val="ConsPlusTitle"/>
        <w:jc w:val="center"/>
      </w:pPr>
      <w:r>
        <w:t>СОЦИАЛЬНОГО ОБСЛУЖИВАНИЯ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I. Введение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proofErr w:type="gramStart"/>
      <w:r>
        <w:t>Особенность социального обслуживания заключается в том, что социальные услуги оказываются лицам, которые, как правило, не в состоянии самостоятельно улучшить условия жизнедеятельности в силу различных обстоятельств (состояние здоровья, отсутствие работы и средств к существованию, многодетность, пожилой возраст), социальные услуги направлены не просто на улучшение уровня жизнедеятельности, а на устранение тех условий, которые значительно ухудшают или могут в ближайшее время ухудшить условия</w:t>
      </w:r>
      <w:proofErr w:type="gramEnd"/>
      <w:r>
        <w:t xml:space="preserve"> жизнедеятельности гражданина.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Социальное обслуживание должно основываться на соблюдении прав человека и уважении достоинства личности, носить гуманный характер и не допускать унижения чести и достоинства человека. Гуманный характер социального обслуживания выражается в особой заботе о тех людях, которые признаны нуждающимися в социальном обслуживании в связи с особыми жизненными обстоятельствами, например, такими как старческая немощность, инвалидность, </w:t>
      </w:r>
      <w:proofErr w:type="spellStart"/>
      <w:r>
        <w:t>малообеспеченность</w:t>
      </w:r>
      <w:proofErr w:type="spellEnd"/>
      <w:r>
        <w:t xml:space="preserve"> и т.п.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Поставщики социальных услуг обязаны исполнять порядок предоставления социальных </w:t>
      </w:r>
      <w:r>
        <w:lastRenderedPageBreak/>
        <w:t>услуг, условия заключенного договора о предоставлении социальных услуг и проявлять уважительное отношение, корректность и внимательность в отношении получателя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Данное Руководство разработано Федеральной службой по труду и занятости с целью предотвращения нарушений законодательства в сфере социального обслуживания и содержит рекомендации по соблюдению обязательных требований, касающихся ведения документации поставщиками социальных услуг, размещения и обновления информации о поставщике социальных услуг, в том числе на официальном сайте поставщика социальных услуг в информационно-телекоммуникационной сети "Интернет", порядка организации деятельности поставщиков социальных услуг, а также</w:t>
      </w:r>
      <w:proofErr w:type="gramEnd"/>
      <w:r>
        <w:t xml:space="preserve"> организации предоставления социальных услуг поставщиками социальных услуг.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II. Основные понятия, используемые в данном Руководстве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>Для целей настоящего Руководства используются следующие основные понятия: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3) получатель социальных услуг - гражданин, который </w:t>
      </w:r>
      <w:proofErr w:type="gramStart"/>
      <w:r>
        <w:t>признан нуждающимся в социальном обслуживании и которому предоставляются</w:t>
      </w:r>
      <w:proofErr w:type="gramEnd"/>
      <w:r>
        <w:t xml:space="preserve"> социальная услуга или социальные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6) система социального обслуживания, включающая: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(Министерство труда и социальной защиты Российской Федерации);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орган государственной власти субъекта Российской Федерации, уполномоченный на осуществление полномочий в сфере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организации социального обслуживания, находящиеся в ведении Министерства труда и социальной защиты Российской Федерации;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индивидуальных предпринимателей, осуществляющих социальное обслуживание.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III. Основные нормативные правовые акты в сфере социального обслуживания, содержащие обязательные требования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 xml:space="preserve">Основным нормативным правовым актом Российской Федерации в сфере социального обслуживания, содержащим обязательные требования, является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28 декабря 2013 г. N 442-ФЗ "Об основах социального обслуживания граждан в Российской Федерации".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Поставщики социальных услуг обязаны соблюдать обязательные требования, установленные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2014 г. N 1239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"Интернет",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24 ноября 2014 г. N 940н "Об утверждении Правил организации деятельности</w:t>
      </w:r>
      <w:proofErr w:type="gramEnd"/>
      <w:r>
        <w:t xml:space="preserve"> </w:t>
      </w:r>
      <w:proofErr w:type="gramStart"/>
      <w:r>
        <w:t xml:space="preserve">организаций социального обслуживания, их структурных подразделений",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Поставщики социальных услуг также руководствуются в своей деятельности нормативными правовыми актами субъекта Российской Федерации в сфере социального обслуживания, на территории которого они осуществляют свою деятельность. Нормативными правовыми актами субъектов Российской Федерации в сфере социального обслуживания, разработанными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Федерации", утверждаются: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нормативы штатной численности организаций социального обслуживания субъекта Российской Федерации при предоставлении социальных услуг указанными организациями;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нормативы обеспечения мягким инвентарем организаций социального обслуживания субъекта Российской Федерации при предоставлении социальных услуг указанными организациями;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нормативы обеспечения площадью жилых помещений организаций социального обслуживания субъекта Российской Федерации при предоставлении социальных услуг указанными организациями;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нормы питания в организациях социального обслуживания субъекта Российской Федерации;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порядок предоставления социальных услуг поставщиками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- порядок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предельная величина среднедушевого дохода для предоставления социальных услуг бесплатно;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размер платы за предоставление социальных услуг и порядок ее взимания.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Федеральной службой по труду и занятости также </w:t>
      </w:r>
      <w:proofErr w:type="gramStart"/>
      <w:r>
        <w:t>разработан и размещен</w:t>
      </w:r>
      <w:proofErr w:type="gramEnd"/>
      <w:r>
        <w:t xml:space="preserve"> на официальном сайте </w:t>
      </w:r>
      <w:proofErr w:type="spellStart"/>
      <w:r>
        <w:t>Роструда</w:t>
      </w:r>
      <w:proofErr w:type="spellEnd"/>
      <w:r>
        <w:t xml:space="preserve"> Перечень актов, содержащих обязательные требования, соблюдение которых оценивается при проведении мероприятий по федеральному государственному контролю (надзору) в сфере социального обслуживания.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IV. Рекомендации по соблюдению обязательных требований в части ведения документации поставщиками социальных услуг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>Основная документация поставщиков социальных услуг может включать в себя: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устав;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положения об отделениях;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3) штатное расписание с указанием наименования должностей персонала и его численности;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правила, инструкции, методики, в том числе: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правила внутреннего трудового распорядка должны определять режим работы учреждения, порядок действия его структурных подразделений и их взаимодействия между собой при оказании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lastRenderedPageBreak/>
        <w:t>- правила поведения получателей социальных услуг должны определять их права и обязанности как клиентов учреждения, характер их взаимоотношений с обслуживающим персоналом и между собой, степень ответственности за возможные нарушения режима учреждения;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- должностные инструкции специалистов, устанавливающие их обязанности, права, ответственность за оказываемые социальные услуги, требования к образованию, квалификации, профессиональной подготовке, деловым и моральным качествам, к соблюдению принципов гуманности, справедливости, объективности и доброжелательности по отношению к обслуживаемым гражданам, необходимости проявлять к ним максимальную чуткость, вежливость, выдержку, предусмотрительность, учитывать их физическое и психическое состояние, а также требования этики взаимоотношений с клиентами и их социальным</w:t>
      </w:r>
      <w:proofErr w:type="gramEnd"/>
      <w:r>
        <w:t xml:space="preserve"> окружением;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5) документацию на специальное и табельное техническое оснащение (оборудование, аппаратуру и приборы).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Документация (паспорта, технические описания, инструкции по эксплуатации, формуляры и др.) на имеющееся специальное и табельное техническое оснащение (оборудование, аппаратуру и приборы) предназначена для обеспечения грамотной и эффективной эксплуатации, обслуживания, поддержания в работоспособном состоянии, своевременного выявления и устранения неисправностей, ремонта и замены;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6) документы, связанные с социальным обслуживанием в учреждении: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- личные дела получателей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>
        <w:t>с даты представления</w:t>
      </w:r>
      <w:proofErr w:type="gramEnd"/>
      <w:r>
        <w:t xml:space="preserve"> индивидуальной программы поставщику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Состав документации конкретного поставщика социальных услуг может быть уточнен в зависимости от типа организации социального обслуживания, специфики обслуживаемых категорий населения, характера предоставляемых услуг.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V. Рекомендации по соблюдению обязательных требований в части размещения и обновления информации о поставщике социальных услуг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>Поставщики социальных услуг обеспечивают открытость и доступность информации: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а)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б) о структуре и органах управления организации социального обслуживания, в том числе: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наименование структурных подразделений (органов управления) (при наличии);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места нахождения обособленных структурных подразделений;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адреса официальных сайтов структурных подразделений в сети "Интернет" (при наличии);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адреса электронной почты структурных подразделений (при наличии);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lastRenderedPageBreak/>
        <w:t>в) о руководителе, его заместителях, руководителях филиалов организации социального обслуживания (при наличии);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г) о персональном составе работников (с указанием с их согласия уровня образования, квалификации и опыта работы);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д)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е) о перечне предоставляемых социальных услуг по видам социальных услуг и формам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ж)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з) о тарифах на социальные услуги по видам социальных услуг и формам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и)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к)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л)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м) о показателях, характеризующих качество оказания социальной услуги (в случае установления показателей, характеризующих качество оказания социальной услуги, в государственном (муниципальном) социальном заказе на оказание государственных (муниципальных) услуг в социальной сфере);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н)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о) о финансово-хозяйственной деятельности (с приложением электронного образа плана финансово-хозяйственной деятельности);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п)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р) о наличии предписаний органов, осуществляющих государственный контроль в сфере социального обслуживания, и об </w:t>
      </w:r>
      <w:proofErr w:type="gramStart"/>
      <w:r>
        <w:t>отчетах</w:t>
      </w:r>
      <w:proofErr w:type="gramEnd"/>
      <w:r>
        <w:t xml:space="preserve"> об исполнении таких предписаний;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с) о проведении независимой оценки качества оказания услуг организациями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т)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Указанная информация подлежит размещению на официальном сайте поставщика </w:t>
      </w:r>
      <w:r>
        <w:lastRenderedPageBreak/>
        <w:t>социальных услуг и обновлению в течение 10 рабочих дней со дня ее создания, получения или внесения соответствующих изменений.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Пользователю официального сайта предоставляется наглядная информация о структуре официального сайта, включающая в себя ссылку на официальные сайты органа государственной власти субъекта Российской Федерации, осуществляющего предусмотренные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полномочия в сфере социального обслуживания, и Министерства труда и социальной защиты Российской Федерации.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Информация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  <w:r>
        <w:t xml:space="preserve">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VI. Рекомендации по соблюдению обязательных требований в части порядка организации деятельности поставщиков социальных услуг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>Поставщики социальных услуг обязаны: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2) предоставлять срочные социальные услуги в соответствии со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3)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4)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5)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6) осуществлять социальное сопровождение в соответствии со </w:t>
      </w:r>
      <w:hyperlink r:id="rId14">
        <w:r>
          <w:rPr>
            <w:color w:val="0000FF"/>
          </w:rPr>
          <w:t>статьей 22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7) обеспечивать получателям социальных услуг содействие в прохождении </w:t>
      </w:r>
      <w:proofErr w:type="gramStart"/>
      <w:r>
        <w:t>медико-социальной</w:t>
      </w:r>
      <w:proofErr w:type="gramEnd"/>
      <w:r>
        <w:t xml:space="preserve">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8)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9)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10)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</w:t>
      </w:r>
      <w:r>
        <w:lastRenderedPageBreak/>
        <w:t>вечернее время;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11) обеспечивать сохранность личных вещей и ценностей получателей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Поставщики социальных услуг при оказании социальных услуг не вправе: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надлежащий уход;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3) соблюдение требований и правил пожарной безопасности;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соблюдение требований государственных санитарно-эпидемиологических правил и нормативов;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5) содействие социализации, активному образу жизни, сохранению пребывания получателя социальных услуг в </w:t>
      </w:r>
      <w:proofErr w:type="gramStart"/>
      <w:r>
        <w:t>привычной</w:t>
      </w:r>
      <w:proofErr w:type="gramEnd"/>
      <w:r>
        <w:t xml:space="preserve">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 в стационарной и полустационарной формах, предназначенных для оказания социальных услуг лицам пожилого возраста, лицам с ограниченными возможностями здоровья и инвалидам, установлены </w:t>
      </w:r>
      <w:hyperlink r:id="rId15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 декабря 2020 г. N 44 "Об утверждении СП 2.1.3678-20 "Санитарно-эпидемиологические требования к эксплуатации помещений</w:t>
      </w:r>
      <w:proofErr w:type="gramEnd"/>
      <w:r>
        <w:t>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оказание услуг" (Зарегистрировано в Минюсте России 30 декабря 2020 г. N 61953).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родителей, установлены </w:t>
      </w:r>
      <w:hyperlink r:id="rId16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Министерстве юстиции Российской Федерации 18</w:t>
      </w:r>
      <w:proofErr w:type="gramEnd"/>
      <w:r>
        <w:t xml:space="preserve"> декабря 2020 г., </w:t>
      </w:r>
      <w:proofErr w:type="gramStart"/>
      <w:r>
        <w:t>регистрационный</w:t>
      </w:r>
      <w:proofErr w:type="gramEnd"/>
      <w:r>
        <w:t xml:space="preserve"> N 61573).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VII. Рекомендации по соблюдению обязательных требований в части организации предоставления социальных услуг поставщиками социальных услуг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  <w: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Получатели социальных услуг в стационарной форме обеспечиваются жилыми помещениями, а также помещениями для предоставления всех видов социальных услуг, предусмотренных </w:t>
      </w:r>
      <w:hyperlink r:id="rId17">
        <w:r>
          <w:rPr>
            <w:color w:val="0000FF"/>
          </w:rPr>
          <w:t>пунктами 1</w:t>
        </w:r>
      </w:hyperlink>
      <w:r>
        <w:t xml:space="preserve"> - </w:t>
      </w:r>
      <w:hyperlink r:id="rId18">
        <w:r>
          <w:rPr>
            <w:color w:val="0000FF"/>
          </w:rPr>
          <w:t>7 статьи 20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Таким образом, поставщики социальных услуг в стационарной форме должны предоставить помещения для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При предоставлении социальных услуг в полустационарной форме или в стационарной форме поставщиками социальных услуг должны быть обеспечены: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Сопровождение осуществляется работником организации социального обслуживания при перемещении внутри организации, при входе и выходе из организации, при подъеме и спуске с лестницы, при посещении столовой, буфета и в других ситуациях, когда получатель социальных услуг нуждается в таком сопровождении;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Особое значение данный вопрос приобретает для лиц, передвигающихся в креслах-колясках. С целью реализации получателями социальных услуг возможности самостоятельного передвижения по территории организации социального обслуживания помещения организации должны отвечать определенным требованиям. Так, для инвалидов, передвигающихся на кресле-коляске, необходимы достаточная ширина коридоров, дверных проемов, места для разворота коляски, отсутствие порогов и иных резких перепадов высоты. Места, где такие перепады имеются, должны быть оборудованы пандусами, подъемниками, передвижение с этажа на этаж должно осуществляться при помощи специально оборудованных лифтов, подъемников. Для лиц с нарушениями опорно-двигательного аппарата, но передвигающихся без кресла-коляски, большое значение имеет уклон лестницы, определенная высота перил, не скользкое покрытие пола. Для лиц с нарушением зрения (слепых и слабовидящих) ступени лестницы должны иметь контрастное выделение краев, коридоры и лестницы должны иметь ограничительные бортики и т.д. Санитарные комнаты оборудуются поручнями и иными специальными приспособлениями - автоматическим спуском воды, сенсорными смесителями и сушилками для рук и т.д. Вся необходимая информация размещается на расстоянии, с которого она может быть наиболее эффективно визуально воспринята, оборудование располагается в зоне досягаемости для лиц, перемещающихся в креслах-колясках, и т.д. </w:t>
      </w:r>
      <w:proofErr w:type="gramStart"/>
      <w:r>
        <w:t xml:space="preserve">При размещении и выборе характера исполнения элементов информационного обеспечения должны быть учтены углы поля наблюдения, удобные для восприятия визуальной информации; ясное начертание и контрастность, а при необходимости - рельефность изображения; зоны досягаемости для тактильной трости; исключение помех восприятию звуковой и визуальной информации: </w:t>
      </w:r>
      <w:proofErr w:type="spellStart"/>
      <w:r>
        <w:t>бликование</w:t>
      </w:r>
      <w:proofErr w:type="spellEnd"/>
      <w:r>
        <w:t xml:space="preserve"> указателей и знаков, слепящее освещение, совмещение зон действия различных акустических источников, акустическая тень и т.п.;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3) дублирование текстовых сообщений голосовыми сообщениями, оснащение организации </w:t>
      </w:r>
      <w:r>
        <w:lastRenderedPageBreak/>
        <w:t xml:space="preserve">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Поставщики социальных услуг предоставляют социальные услуги в соответствии с Порядком предоставления социальных услуг, утвержденным нормативным правовым актом субъекта Российской Федерации, обязательным для исполнения поставщиками социальных услуг.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наименование социальной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стандарт социальной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3) правила предоставления социальной услуги бесплатно либо за плату или частичную плату;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требования к деятельности поставщика социальной услуги в сфере социального обслуживания;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Стандарт социальной услуги в свою очередь включает в себя: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описание социальной услуги, в том числе ее объем;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сроки предоставления социальной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3) </w:t>
      </w:r>
      <w:proofErr w:type="spellStart"/>
      <w:r>
        <w:t>подушевой</w:t>
      </w:r>
      <w:proofErr w:type="spellEnd"/>
      <w:r>
        <w:t xml:space="preserve"> норматив финансирования социальной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показатели качества и оценку результатов предоставления социальной услуги;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жизнедеятельности.</w:t>
      </w: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ind w:firstLine="540"/>
        <w:jc w:val="both"/>
      </w:pPr>
    </w:p>
    <w:p w:rsidR="00967702" w:rsidRDefault="00967702">
      <w:pPr>
        <w:pStyle w:val="ConsPlusNormal"/>
        <w:jc w:val="right"/>
        <w:outlineLvl w:val="0"/>
      </w:pPr>
      <w:r>
        <w:t>Утверждено</w:t>
      </w:r>
    </w:p>
    <w:p w:rsidR="00967702" w:rsidRDefault="00967702">
      <w:pPr>
        <w:pStyle w:val="ConsPlusNormal"/>
        <w:jc w:val="right"/>
      </w:pPr>
      <w:r>
        <w:t>приказом Федеральной службы</w:t>
      </w:r>
    </w:p>
    <w:p w:rsidR="00967702" w:rsidRDefault="00967702">
      <w:pPr>
        <w:pStyle w:val="ConsPlusNormal"/>
        <w:jc w:val="right"/>
      </w:pPr>
      <w:r>
        <w:t>по труду и занятости</w:t>
      </w:r>
    </w:p>
    <w:p w:rsidR="00967702" w:rsidRDefault="00967702">
      <w:pPr>
        <w:pStyle w:val="ConsPlusNormal"/>
        <w:jc w:val="right"/>
      </w:pPr>
      <w:r>
        <w:t>от 20 апреля 2022 г. N 101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jc w:val="center"/>
      </w:pPr>
      <w:bookmarkStart w:id="2" w:name="P189"/>
      <w:bookmarkEnd w:id="2"/>
      <w:r>
        <w:t>РУКОВОДСТВО</w:t>
      </w:r>
    </w:p>
    <w:p w:rsidR="00967702" w:rsidRDefault="00967702">
      <w:pPr>
        <w:pStyle w:val="ConsPlusTitle"/>
        <w:jc w:val="center"/>
      </w:pPr>
      <w:r>
        <w:t>ПО СОБЛЮДЕНИЮ ОБЯЗАТЕЛЬНЫХ ТРЕБОВАНИЙ В СФЕРЕ ОКАЗАНИЯ</w:t>
      </w:r>
    </w:p>
    <w:p w:rsidR="00967702" w:rsidRDefault="00967702">
      <w:pPr>
        <w:pStyle w:val="ConsPlusTitle"/>
        <w:jc w:val="center"/>
      </w:pPr>
      <w:r>
        <w:t>ГРАЖДАНАМ ГОСУДАРСТВЕННОЙ СОЦИАЛЬНОЙ ПОМОЩИ В ВИДЕ</w:t>
      </w:r>
    </w:p>
    <w:p w:rsidR="00967702" w:rsidRDefault="00967702">
      <w:pPr>
        <w:pStyle w:val="ConsPlusTitle"/>
        <w:jc w:val="center"/>
      </w:pPr>
      <w:r>
        <w:t>ПРЕДОСТАВЛЕНИЯ СОЦИАЛЬНЫХ УСЛУГ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I. Введение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proofErr w:type="gramStart"/>
      <w:r>
        <w:t xml:space="preserve">Государственная социальная помощь оказывается в целях поддержания уровня жизни малоимущих семей, а также малоимущих одиноко проживающих граждан, среднедушевой доход которых ниже величины прожиточного минимума, установленного в соответствующем субъекте Российской Федерации, адресного использования бюджетных средств, усиления адресности </w:t>
      </w:r>
      <w:r>
        <w:lastRenderedPageBreak/>
        <w:t>социальной поддержки нуждающихся граждан, создания необходимых условий для обеспечения всеобщей доступности и общественно приемлемого качества социальных услуг, снижения уровня социального неравенства, повышения доходов населения.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Данное Руководство разработано Федеральной службой по труду и занятости с целью предотвращения нарушений законодательства в сфере оказания гражданам государственной социальной помощи в виде предоставления социальных услуг и содержит рекомендации по соблюдению обязательных требований, касающихся предоставления следующих социальных услуг, включенных в набор социальных услуг: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II. Основные понятия, используемые в данном Руководстве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r>
        <w:t>Для целей настоящего Руководства используются следующие основные понятия: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1) государственная социальная помощь - предоставление малоимущим семьям, малоимущим одиноко проживающим гражданам, а также иным категориям граждан, указанным в Федеральном </w:t>
      </w:r>
      <w:hyperlink r:id="rId19">
        <w:r>
          <w:rPr>
            <w:color w:val="0000FF"/>
          </w:rPr>
          <w:t>законе</w:t>
        </w:r>
      </w:hyperlink>
      <w:r>
        <w:t xml:space="preserve"> от 17 июля 1999 г. N 178-ФЗ "О государственной социальной помощи" (далее - Федеральный закон "О государственной социальной помощи"), социальных пособий, социальных доплат к пенсии, субсидий, социальных услуг и жизненно необходимых товаров;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2) набор социальных услуг - перечень социальных услуг, предоставляемых отдельным категориям граждан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III. Основные нормативные правовые акты в сфере оказания гражданам государственной социальной помощи в виде предоставления социальных услуг, содержащие обязательные требования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r>
        <w:t xml:space="preserve">Основным нормативным правовым актом Российской Федерации в сфере оказания гражданам государственной социальной помощи, содержащим обязательные требования, является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"О государственной социальной помощи".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Контролируемые лица обязаны соблюдать обязательные требования, установленные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N 929н, Министерства здравоохранения Российской Федерации N 1345н от 21 декабря 2020 г. "Об утверждении Порядка предоставления набора социальных услуг отдельным категориям граждан" (Зарегистрирован в Министерстве юстиции Российской Федерации 11 мая 2021 г., регистрационный N 63365).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Федеральной службой по труду и занятости также </w:t>
      </w:r>
      <w:proofErr w:type="gramStart"/>
      <w:r>
        <w:t>разработан и размещен</w:t>
      </w:r>
      <w:proofErr w:type="gramEnd"/>
      <w:r>
        <w:t xml:space="preserve"> на официальном сайте </w:t>
      </w:r>
      <w:proofErr w:type="spellStart"/>
      <w:r>
        <w:t>Роструда</w:t>
      </w:r>
      <w:proofErr w:type="spellEnd"/>
      <w:r>
        <w:t xml:space="preserve"> Перечень актов, содержащих обязательные требования, соблюдение которых оценивается при проведении мероприятий по федеральному государственному контролю (надзору) за деятельностью по оказанию гражданам государственной социальной помощи в виде предоставления социальных услуг.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IV. Рекомендации по соблюдению обязательных требований в части соблюдения прав граждан на получение государственной социальной помощи в виде набора социальных услуг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 право на получение государственной социальной помощи в виде набора социальных услуг имеют следующие категории граждан: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1) инвалиды войны;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2) участники Великой Отечественной войны;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lastRenderedPageBreak/>
        <w:t xml:space="preserve">3) ветераны боевых действий из числа лиц, указанных в </w:t>
      </w:r>
      <w:hyperlink r:id="rId24">
        <w:r>
          <w:rPr>
            <w:color w:val="0000FF"/>
          </w:rPr>
          <w:t>подпунктах 1</w:t>
        </w:r>
      </w:hyperlink>
      <w:r>
        <w:t xml:space="preserve"> - </w:t>
      </w:r>
      <w:hyperlink r:id="rId25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г. N 5-ФЗ "О ветеранах";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5) лица, награжденные знаком "Жителю блокадного Ленинграда", лица, награжденные знаком "Житель осажденного Севастополя";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8) инвалиды;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9) дети-инвалиды.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При предоставлении социальных услуг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V. Рекомендации по соблюдению обязательных требований при предоставлении гражданам социальных услуг в части обеспечения санаторно-курортным лечением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proofErr w:type="gramStart"/>
      <w:r>
        <w:t xml:space="preserve">Обеспечение санаторно-курортным лечением осуществляется путем предоставления гражданам при наличии медицинских показаний санаторно-курортных путевок в санаторно-курортные организации, расположенные на территории Российской Федерации, определенные в соответствии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 и услуг для обеспечения государственных и муниципальных нужд" (далее - санаторно-курортные организации).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Санаторно-курортное лечение может предоставляться также и в виде предоставления медицинской помощи (без питания и проживания) на основании заявления гражданина.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Организация приобретения путевок на санаторно-курортное лечение осуществляется Фондом социального страхования Российской Федерации и органом, уполномоченным высшим органом исполнительной власти субъекта Российской Федерации на осуществление части полномочий Российской Федерации по оказанию государственной социальной помощи в виде социальных услуг по предоставлению отдельным категориям граждан при наличии медицинских показаний путевок на санаторно-курортное лечение и бесплатного проезда на междугородном транспорте к месту лечения и</w:t>
      </w:r>
      <w:proofErr w:type="gramEnd"/>
      <w:r>
        <w:t xml:space="preserve"> обратно в случае их передачи на основании соглашений, заключенных между Министерством труда и социальной защиты Российской Федерации и высшими органами исполнительной власти субъектов Российской Федерации (далее - уполномоченный орган).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Отбор и направление на санаторно-курортное лечение граждан осуществляются с учетом медицинских показаний и медицинских противопоказаний в порядке, установленном </w:t>
      </w:r>
      <w:hyperlink r:id="rId27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6189), с изменениями, внесенными приказами Министерства</w:t>
      </w:r>
      <w:proofErr w:type="gramEnd"/>
      <w:r>
        <w:t xml:space="preserve"> </w:t>
      </w:r>
      <w:proofErr w:type="gramStart"/>
      <w:r>
        <w:t xml:space="preserve">здравоохранения и социального развития Российской Федерации от 9 января 2007 г. N 3 (зарегистрирован </w:t>
      </w:r>
      <w:r>
        <w:lastRenderedPageBreak/>
        <w:t>Министерством юстиции Российской Федерации 8 февраля 2007 г., регистрационный N 8908), от 24 декабря 2007 г. N 794 (зарегистрирован Министерством юстиции Российской Федерации 17 января 2008 г., регистрационный N 10904), от 24 декабря 2008 г. N 763н (зарегистрирован Министерством юстиции Российской Федерации 20 января 2009 г</w:t>
      </w:r>
      <w:proofErr w:type="gramEnd"/>
      <w:r>
        <w:t xml:space="preserve">., регистрационный N 13129), от 23 июля 2010 г. N 545н (зарегистрирован Министерством юстиции Российской Федерации 20 августа 2010 г., регистрационный N 18209) и </w:t>
      </w:r>
      <w:hyperlink r:id="rId2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В соответствии со </w:t>
      </w:r>
      <w:hyperlink r:id="rId29">
        <w:r>
          <w:rPr>
            <w:color w:val="0000FF"/>
          </w:rPr>
          <w:t>статьей 6.2</w:t>
        </w:r>
      </w:hyperlink>
      <w:r>
        <w:t xml:space="preserve"> Федерального закона "О государственной социальной помощи"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Санаторно-курортная путевка на бумажном носителе является документом строгой отчетности.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Граждане при наличии медицинских показаний и отсутствии медицинских противопоказаний для санаторно-курортного лечения получают в медицинской организации по месту жительства справку для получения санаторно-курортной путевки по </w:t>
      </w:r>
      <w:hyperlink r:id="rId30">
        <w:r>
          <w:rPr>
            <w:color w:val="0000FF"/>
          </w:rPr>
          <w:t>форме N 070/у</w:t>
        </w:r>
      </w:hyperlink>
      <w:r>
        <w:t>, утвержденной приказом Министерства здравоохранения Российской Федерации от 15 декабря 2014 г. N 834н.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При наличии справки для получения санаторно-курортной путевки граждане обращаются с заявлением о предоставлении санаторно-курортной путевки в территориальный орган Фонда социального страхования Российской Федерации (далее - территориальные органы Фонда) по месту получения ежемесячной денежной выплаты либо в уполномоченный орган.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Заявление о предоставлении санаторно-курортной путевки подается лично, по почте, через многофункциональный центр предоставления государственных и муниципальных услуг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 либо уполномоченными органами, предоставляющими государственные услуги) (далее - многофункциональный центр, соглашения о взаимодействии), в письменной форме или в форме электронного документа с использованием информационно-телекоммуникационных сетей общего пользования, в</w:t>
      </w:r>
      <w:proofErr w:type="gramEnd"/>
      <w:r>
        <w:t xml:space="preserve"> том числе сети Интернет.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Заявление о предоставлении санаторно-курортной путевки недееспособного гражданина может быть подано законным или уполномоченным представителем.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Очередное заявление о предоставлении путевки подается гражданином после обеспечения его путевкой на санаторно-курортное лечение по ранее поданному заявлению.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граждане, проживающие в организациях социального обслуживания, предоставляющих социальные услуги в стационарной форме, не смогут самостоятельно обратиться с заявлением о предоставлении санаторно-курортной путевки в территориальный орган Фонда либо в уполномоченный орган, администрация названного учреждения оказывает им содействие в получении санаторно-курортной путевки.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Вопрос санаторно-курортного лечения детей-инвалидов, проживающих в стационарных учреждениях, независимо от их ведомственной принадлежности, решает администрация названных учреждений.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Территориальный орган Фонда либо уполномоченный орган не позднее 10 дней со дня поступления заявления о предоставлении санаторно-курортной путевки и справки для получения путевки сообщают гражданину (в том числе в электронном виде, если заявление было представлено в форме электронного документа) о регистрации его заявления с указанием даты регистрации и регистрационного номера.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 xml:space="preserve">Территориальный орган Фонда либо уполномоченный орган заблаговременно, но не </w:t>
      </w:r>
      <w:proofErr w:type="gramStart"/>
      <w:r>
        <w:t>позднее</w:t>
      </w:r>
      <w:proofErr w:type="gramEnd"/>
      <w:r>
        <w:t xml:space="preserve"> чем за 18 календарных дней (для детей-инвалидов, инвалидов с заболеваниями и последствиями травм спинного и головного мозга - за 21 календарный день) до даты заезда в санаторно-курортную организацию, выдает гражданину санаторно-курортную путевку в соответствии с его заявлением и справкой для их получения.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lastRenderedPageBreak/>
        <w:t>Санаторно-курортная путевка предоставляется при наличии действующей медицинской справки и в соответствии с датой подачи гражданином заявления о предоставлении санаторно-курортной путевки.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Санаторно-курортная путевка выдается на бумажном носителе в заполненном виде с печатью территориального органа Фонда или уполномоченного органа с отметкой: "</w:t>
      </w:r>
      <w:proofErr w:type="gramStart"/>
      <w:r>
        <w:t>Оплачена</w:t>
      </w:r>
      <w:proofErr w:type="gramEnd"/>
      <w:r>
        <w:t xml:space="preserve"> за счет средств федерального бюджета и продаже не подлежит".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Граждане после получения санаторно-курортной путевки, но не ранее чем за 2 календарных месяца до начала срока ее действия, обязаны получить санаторно-курортную </w:t>
      </w:r>
      <w:hyperlink r:id="rId31">
        <w:r>
          <w:rPr>
            <w:color w:val="0000FF"/>
          </w:rPr>
          <w:t>карту</w:t>
        </w:r>
      </w:hyperlink>
      <w:r>
        <w:t xml:space="preserve"> либо санаторно-курортную </w:t>
      </w:r>
      <w:hyperlink r:id="rId32">
        <w:r>
          <w:rPr>
            <w:color w:val="0000FF"/>
          </w:rPr>
          <w:t>карту</w:t>
        </w:r>
      </w:hyperlink>
      <w:r>
        <w:t xml:space="preserve"> для детей, формы которых утверждены приказом Министерства здравоохранения Российской Федерации от 15 декабря 2014 г. N 834н, в медицинской организации, выдавшей справку для получения санаторно-курортной путевки.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По прибытии в санаторно-курортную организацию граждане предъявляют санаторно-курортную путевку и санаторно-курортную карту.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Документами, подтверждающими получение санаторно-курортного лечения, являются отрывной талон санаторно-курортной путевки, который санаторно-курортные организации обязаны представить в срок не позднее 30 календарных дней после окончания санаторно-курортного лечения в территориальный орган Фонда либо в уполномоченный орган, выдавший путевку, и (или) реестр граждан, получивших санаторно-курортное лечение, подписанный руководителем санаторно-курортной организации, а также обратный талон санаторно-курортной карты, который гражданин в те же сроки представляет</w:t>
      </w:r>
      <w:proofErr w:type="gramEnd"/>
      <w:r>
        <w:t xml:space="preserve"> в медицинскую организацию, выдавшую санаторно-курортную карту.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Граждане в случае отказа от санаторно-курортной путевки обязаны возвратить ее в территориальный орган Фонда либо в уполномоченный орган, выдавший санаторно-курортную путевку, не позднее 7 календарных дней до начала срока ее действия.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Title"/>
        <w:ind w:firstLine="540"/>
        <w:jc w:val="both"/>
        <w:outlineLvl w:val="1"/>
      </w:pPr>
      <w:r>
        <w:t>VI. Рекомендации по соблюдению обязательных требований при предоставлении социальных услуг в части организации перевозки граждан к месту лечения и обратно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ind w:firstLine="540"/>
        <w:jc w:val="both"/>
      </w:pPr>
      <w:r>
        <w:t>Организация перевозки граждан к месту лечения и обратно осуществляется железнодорожным, авиационным, водным (речным) и автомобильным транспортом.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Для следования к месту лечения граждане вправе воспользоваться: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железнодорожным транспортом (поезда всех категорий, в том числе фирменные поезда в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вагонов повышенной комфортности);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авиационным транспортом (экономический класс) при отсутствии железнодорожного сообщения либо при меньшей стоимости авиаперелета по сравнению со стоимостью проезда железнодорожным транспортом на условиях, установленных абзацем вторым настоящего пункта, либо при налич</w:t>
      </w:r>
      <w:proofErr w:type="gramStart"/>
      <w:r>
        <w:t>ии у и</w:t>
      </w:r>
      <w:proofErr w:type="gramEnd"/>
      <w:r>
        <w:t>нвалида, в том числе ребенка-инвалида, заболевания или травмы спинного мозга;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водным транспортом (третьей категории);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автомобильным транспортом (общего пользования).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Одновременно с получением в территориальных органах Фонда или уполномоченном органе санаторно-курортной путевки гражданин обеспечивается специальными талонами на право бесплатного получения проездных документов в поезде дальнего следования (далее - специальные талоны) или направлениями на приобретение проездных документов на авиационном, автомобильном и водном транспорте (далее - именное направление). 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 xml:space="preserve">Обеспечение в рамках предоставления социальных услуг граждан бесплатным проездом к месту лечения и обратно, в том числе к месту санаторно-курортного лечения по путевкам, </w:t>
      </w:r>
      <w:r>
        <w:lastRenderedPageBreak/>
        <w:t xml:space="preserve">предоставленным органами исполнительной власти субъектов Российской Федерации в сфере здравоохранения в санаторно-курортные организации, подведомственные федеральным органам исполнительной власти, а также к месту лечения при наличии медицинских показаний осуществляется на основании заявления, а также </w:t>
      </w:r>
      <w:hyperlink r:id="rId33">
        <w:r>
          <w:rPr>
            <w:color w:val="0000FF"/>
          </w:rPr>
          <w:t>направления</w:t>
        </w:r>
      </w:hyperlink>
      <w:r>
        <w:t xml:space="preserve"> и </w:t>
      </w:r>
      <w:hyperlink r:id="rId34">
        <w:r>
          <w:rPr>
            <w:color w:val="0000FF"/>
          </w:rPr>
          <w:t>талона N</w:t>
        </w:r>
        <w:proofErr w:type="gramEnd"/>
        <w:r>
          <w:rPr>
            <w:color w:val="0000FF"/>
          </w:rPr>
          <w:t xml:space="preserve"> 2</w:t>
        </w:r>
      </w:hyperlink>
      <w:r>
        <w:t xml:space="preserve">, </w:t>
      </w:r>
      <w:proofErr w:type="gramStart"/>
      <w:r>
        <w:t>формы</w:t>
      </w:r>
      <w:proofErr w:type="gramEnd"/>
      <w:r>
        <w:t xml:space="preserve"> которых утверждены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 (далее - приказ Министерства здравоохранения и социального развития Российской Федерации от 5 октября 2005 г. N 617), оформленных органом исполнительной власти субъекта Российской Федерации в сфере здравоохранения (далее - направление, талон N 2).</w:t>
      </w:r>
    </w:p>
    <w:p w:rsidR="00967702" w:rsidRDefault="00967702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Направление</w:t>
        </w:r>
      </w:hyperlink>
      <w:r>
        <w:t xml:space="preserve"> и </w:t>
      </w:r>
      <w:hyperlink r:id="rId36">
        <w:r>
          <w:rPr>
            <w:color w:val="0000FF"/>
          </w:rPr>
          <w:t>талон N 2</w:t>
        </w:r>
      </w:hyperlink>
      <w:r>
        <w:t xml:space="preserve"> после их оформления направляются органом исполнительной власти субъекта Российской Федерации в сфере здравоохранения в территориальный орган Фонда либо в уполномоченный орган, а также выдаются гражданину в </w:t>
      </w:r>
      <w:hyperlink r:id="rId37">
        <w:r>
          <w:rPr>
            <w:color w:val="0000FF"/>
          </w:rPr>
          <w:t>порядке</w:t>
        </w:r>
      </w:hyperlink>
      <w:r>
        <w:t>, который утвержден приказом Министерства здравоохранения и социального развития Российской Федерации от 5 октября 2005 г. N 617.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После получения направления и талона N 2, выданных органом исполнительной власти субъекта Российской Федерации в сфере здравоохранения, гражданин или его законный представитель обращается в территориальные органы Фонда либо уполномоченные органы для обеспечения специальными талонами или именными направлениями на право получения бесплатных проездных документов.</w:t>
      </w:r>
    </w:p>
    <w:p w:rsidR="00967702" w:rsidRDefault="00967702">
      <w:pPr>
        <w:pStyle w:val="ConsPlusNormal"/>
        <w:spacing w:before="200"/>
        <w:ind w:firstLine="540"/>
        <w:jc w:val="both"/>
      </w:pPr>
      <w:proofErr w:type="gramStart"/>
      <w:r>
        <w:t>Заявление о предоставлении специальных талонов и (или) именных направлений подается в территориальный орган Фонда либо уполномоченный орган лично, по почте, через многофункциональный центр (при наличии государственной услуги в соглашениях о взаимодействии) в письменной форме или в форме электронного документа с использованием информационно-телекоммуникационных сетей общего пользования, в том числе сети Интернет.</w:t>
      </w:r>
      <w:proofErr w:type="gramEnd"/>
    </w:p>
    <w:p w:rsidR="00967702" w:rsidRDefault="00967702">
      <w:pPr>
        <w:pStyle w:val="ConsPlusNormal"/>
        <w:spacing w:before="200"/>
        <w:ind w:firstLine="540"/>
        <w:jc w:val="both"/>
      </w:pPr>
      <w:r>
        <w:t>Заявление о предоставлении специальных талонов и (или) именных направлений может быть подано законным или уполномоченным представителем гражданина.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Специальный талон на право бесплатного проезда железнодорожным транспортом дальнего следования может быть оформлен в форме документа на бумажном носителе или в форме электронного документа.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Специальный талон включает данные, необходимые для оформления проездного документа (билета) на поезд дальнего следования.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Специальный талон на бумажном носителе состоит из двух частей - талона и корешка талона и подлежит строгому учету.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Именное направление на приобретение проездных документов на авиационном, автомобильном и водном транспорте включает данные, необходимые для оформления безденежного проездного документа на проезд авиационным, водным и автомобильным транспортом.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Заполненные специальные талоны на бумажном носителе, именные направления на бумажном носителе выдаются гражданину в двух экземплярах (на оформление проезда в прямом и обратном направлении) при наличии санаторно-курортной путевки. Заполненные корешки талонов остаются в делах территориального органа Фонда или уполномоченного органа.</w:t>
      </w:r>
    </w:p>
    <w:p w:rsidR="00967702" w:rsidRDefault="00967702">
      <w:pPr>
        <w:pStyle w:val="ConsPlusNormal"/>
        <w:spacing w:before="200"/>
        <w:ind w:firstLine="540"/>
        <w:jc w:val="both"/>
      </w:pPr>
      <w:r>
        <w:t>При оформлении специальных талонов в форме электронного документа гражданину выдается памятка о порядке оформления проездного документа (билета) на проезд в поездах дальнего следования.</w:t>
      </w: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jc w:val="both"/>
      </w:pPr>
    </w:p>
    <w:p w:rsidR="00967702" w:rsidRDefault="009677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369" w:rsidRDefault="00267950"/>
    <w:sectPr w:rsidR="00D20369" w:rsidSect="0090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2"/>
    <w:rsid w:val="00267950"/>
    <w:rsid w:val="00967702"/>
    <w:rsid w:val="00D81CB1"/>
    <w:rsid w:val="00D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7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77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677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677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53C426C5A7647A617DE8D99C7E0079AB8A778B70F1F1E0997BC1572A9E56C6CBE7103B0784DC4U3o7D" TargetMode="External"/><Relationship Id="rId13" Type="http://schemas.openxmlformats.org/officeDocument/2006/relationships/hyperlink" Target="consultantplus://offline/ref=2E7FEA20B6788C07247099B05FC64C47DEC4394C665F7647A617DE8D99C7E0079AB8A778B70F1D1C0197BC1572A9E56C6CBE7103B0784DC4U3o7D" TargetMode="External"/><Relationship Id="rId18" Type="http://schemas.openxmlformats.org/officeDocument/2006/relationships/hyperlink" Target="consultantplus://offline/ref=2E7FEA20B6788C07247099B05FC64C47DEC4394C665F7647A617DE8D99C7E0079AB8A778B70F1D1F0997BC1572A9E56C6CBE7103B0784DC4U3o7D" TargetMode="External"/><Relationship Id="rId26" Type="http://schemas.openxmlformats.org/officeDocument/2006/relationships/hyperlink" Target="consultantplus://offline/ref=2E7FEA20B6788C07247099B05FC64C47D9CE3E4D695F7647A617DE8D99C7E00788B8FF74B50B011E0882EA4434UFoE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7FEA20B6788C07247099B05FC64C47D9CC374566597647A617DE8D99C7E0079AB8A77AB40D144A51D8BD4934F8F66E60BE730BACU7o8D" TargetMode="External"/><Relationship Id="rId34" Type="http://schemas.openxmlformats.org/officeDocument/2006/relationships/hyperlink" Target="consultantplus://offline/ref=2E7FEA20B6788C07247099B05FC64C47DCC43A4C6B537647A617DE8D99C7E0079AB8A778B70F1F1B0897BC1572A9E56C6CBE7103B0784DC4U3o7D" TargetMode="External"/><Relationship Id="rId7" Type="http://schemas.openxmlformats.org/officeDocument/2006/relationships/hyperlink" Target="consultantplus://offline/ref=2E7FEA20B6788C07247099B05FC64C47DEC4394C665F7647A617DE8D99C7E0079AB8A778B70F1F180697BC1572A9E56C6CBE7103B0784DC4U3o7D" TargetMode="External"/><Relationship Id="rId12" Type="http://schemas.openxmlformats.org/officeDocument/2006/relationships/hyperlink" Target="consultantplus://offline/ref=2E7FEA20B6788C07247099B05FC64C47DEC4394C665F7647A617DE8D99C7E00788B8FF74B50B011E0882EA4434UFoED" TargetMode="External"/><Relationship Id="rId17" Type="http://schemas.openxmlformats.org/officeDocument/2006/relationships/hyperlink" Target="consultantplus://offline/ref=2E7FEA20B6788C07247099B05FC64C47DEC4394C665F7647A617DE8D99C7E0079AB8A778B70F1D1F0397BC1572A9E56C6CBE7103B0784DC4U3o7D" TargetMode="External"/><Relationship Id="rId25" Type="http://schemas.openxmlformats.org/officeDocument/2006/relationships/hyperlink" Target="consultantplus://offline/ref=2E7FEA20B6788C07247099B05FC64C47D9CE3C426E527647A617DE8D99C7E0079AB8A778B70F1F1D0497BC1572A9E56C6CBE7103B0784DC4U3o7D" TargetMode="External"/><Relationship Id="rId33" Type="http://schemas.openxmlformats.org/officeDocument/2006/relationships/hyperlink" Target="consultantplus://offline/ref=2E7FEA20B6788C07247099B05FC64C47DCC43A4C6B537647A617DE8D99C7E0079AB8A778B70F1F1C0497BC1572A9E56C6CBE7103B0784DC4U3o7D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7FEA20B6788C07247099B05FC64C47DECB3E40675E7647A617DE8D99C7E00788B8FF74B50B011E0882EA4434UFoED" TargetMode="External"/><Relationship Id="rId20" Type="http://schemas.openxmlformats.org/officeDocument/2006/relationships/hyperlink" Target="consultantplus://offline/ref=2E7FEA20B6788C07247099B05FC64C47D9CC374566597647A617DE8D99C7E0079AB8A77BB7044B4F44C9E54632E2E86676A27109UAoCD" TargetMode="External"/><Relationship Id="rId29" Type="http://schemas.openxmlformats.org/officeDocument/2006/relationships/hyperlink" Target="consultantplus://offline/ref=2E7FEA20B6788C07247099B05FC64C47D9CC374566597647A617DE8D99C7E0079AB8A778B70F1E1D0197BC1572A9E56C6CBE7103B0784DC4U3o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FEA20B6788C07247099B05FC64C47DEC436406E5B7647A617DE8D99C7E0079AB8A778B70F1A1F0797BC1572A9E56C6CBE7103B0784DC4U3o7D" TargetMode="External"/><Relationship Id="rId11" Type="http://schemas.openxmlformats.org/officeDocument/2006/relationships/hyperlink" Target="consultantplus://offline/ref=2E7FEA20B6788C07247099B05FC64C47DEC4394C665F7647A617DE8D99C7E0079AB8A778B70F1F160397BC1572A9E56C6CBE7103B0784DC4U3o7D" TargetMode="External"/><Relationship Id="rId24" Type="http://schemas.openxmlformats.org/officeDocument/2006/relationships/hyperlink" Target="consultantplus://offline/ref=2E7FEA20B6788C07247099B05FC64C47D9CE3C426E527647A617DE8D99C7E0079AB8A77AB50A144A51D8BD4934F8F66E60BE730BACU7o8D" TargetMode="External"/><Relationship Id="rId32" Type="http://schemas.openxmlformats.org/officeDocument/2006/relationships/hyperlink" Target="consultantplus://offline/ref=2E7FEA20B6788C07247099B05FC64C47DECA36416D5C7647A617DE8D99C7E0079AB8A778B70E1E1E0997BC1572A9E56C6CBE7103B0784DC4U3o7D" TargetMode="External"/><Relationship Id="rId37" Type="http://schemas.openxmlformats.org/officeDocument/2006/relationships/hyperlink" Target="consultantplus://offline/ref=2E7FEA20B6788C07247099B05FC64C47DCC43A4C6B537647A617DE8D99C7E0079AB8A778B70F1F1F0297BC1572A9E56C6CBE7103B0784DC4U3o7D" TargetMode="External"/><Relationship Id="rId5" Type="http://schemas.openxmlformats.org/officeDocument/2006/relationships/hyperlink" Target="consultantplus://offline/ref=2E7FEA20B6788C07247099B05FC64C47D9CD3B4D66537647A617DE8D99C7E0079AB8A778B70F1E1E0097BC1572A9E56C6CBE7103B0784DC4U3o7D" TargetMode="External"/><Relationship Id="rId15" Type="http://schemas.openxmlformats.org/officeDocument/2006/relationships/hyperlink" Target="consultantplus://offline/ref=2E7FEA20B6788C07247099B05FC64C47D9CD3B4D685A7647A617DE8D99C7E00788B8FF74B50B011E0882EA4434UFoED" TargetMode="External"/><Relationship Id="rId23" Type="http://schemas.openxmlformats.org/officeDocument/2006/relationships/hyperlink" Target="consultantplus://offline/ref=2E7FEA20B6788C07247099B05FC64C47D9CC374566597647A617DE8D99C7E0079AB8A77BB7044B4F44C9E54632E2E86676A27109UAoCD" TargetMode="External"/><Relationship Id="rId28" Type="http://schemas.openxmlformats.org/officeDocument/2006/relationships/hyperlink" Target="consultantplus://offline/ref=2E7FEA20B6788C07247099B05FC64C47DECA36416D5C7647A617DE8D99C7E00788B8FF74B50B011E0882EA4434UFoED" TargetMode="External"/><Relationship Id="rId36" Type="http://schemas.openxmlformats.org/officeDocument/2006/relationships/hyperlink" Target="consultantplus://offline/ref=2E7FEA20B6788C07247099B05FC64C47DCC43A4C6B537647A617DE8D99C7E0079AB8A778B70F1F1B0897BC1572A9E56C6CBE7103B0784DC4U3o7D" TargetMode="External"/><Relationship Id="rId10" Type="http://schemas.openxmlformats.org/officeDocument/2006/relationships/hyperlink" Target="consultantplus://offline/ref=2E7FEA20B6788C07247099B05FC64C47DECB394769537647A617DE8D99C7E0079AB8A778B70F1F1F0097BC1572A9E56C6CBE7103B0784DC4U3o7D" TargetMode="External"/><Relationship Id="rId19" Type="http://schemas.openxmlformats.org/officeDocument/2006/relationships/hyperlink" Target="consultantplus://offline/ref=2E7FEA20B6788C07247099B05FC64C47D9CC374566597647A617DE8D99C7E0079AB8A77BB7044B4F44C9E54632E2E86676A27109UAoCD" TargetMode="External"/><Relationship Id="rId31" Type="http://schemas.openxmlformats.org/officeDocument/2006/relationships/hyperlink" Target="consultantplus://offline/ref=2E7FEA20B6788C07247099B05FC64C47DECA36416D5C7647A617DE8D99C7E0079AB8A778B70E1F1F0897BC1572A9E56C6CBE7103B0784DC4U3o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FEA20B6788C07247099B05FC64C47DEC93A41685B7647A617DE8D99C7E0079AB8A778B70F1F1E0997BC1572A9E56C6CBE7103B0784DC4U3o7D" TargetMode="External"/><Relationship Id="rId14" Type="http://schemas.openxmlformats.org/officeDocument/2006/relationships/hyperlink" Target="consultantplus://offline/ref=2E7FEA20B6788C07247099B05FC64C47DEC4394C665F7647A617DE8D99C7E0079AB8A778B70F1D1D0097BC1572A9E56C6CBE7103B0784DC4U3o7D" TargetMode="External"/><Relationship Id="rId22" Type="http://schemas.openxmlformats.org/officeDocument/2006/relationships/hyperlink" Target="consultantplus://offline/ref=2E7FEA20B6788C07247099B05FC64C47DEC43C42675E7647A617DE8D99C7E00788B8FF74B50B011E0882EA4434UFoED" TargetMode="External"/><Relationship Id="rId27" Type="http://schemas.openxmlformats.org/officeDocument/2006/relationships/hyperlink" Target="consultantplus://offline/ref=2E7FEA20B6788C07247099B05FC64C47DCCB39456C5B7647A617DE8D99C7E00788B8FF74B50B011E0882EA4434UFoED" TargetMode="External"/><Relationship Id="rId30" Type="http://schemas.openxmlformats.org/officeDocument/2006/relationships/hyperlink" Target="consultantplus://offline/ref=2E7FEA20B6788C07247099B05FC64C47DECA36416D5C7647A617DE8D99C7E0079AB8A778B70F181E0697BC1572A9E56C6CBE7103B0784DC4U3o7D" TargetMode="External"/><Relationship Id="rId35" Type="http://schemas.openxmlformats.org/officeDocument/2006/relationships/hyperlink" Target="consultantplus://offline/ref=2E7FEA20B6788C07247099B05FC64C47DCC43A4C6B537647A617DE8D99C7E0079AB8A778B70F1F1C0497BC1572A9E56C6CBE7103B0784DC4U3o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8023</Words>
  <Characters>45732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Скоромных Наталья Юрьевна</dc:creator>
  <cp:lastModifiedBy>Скоромных Наталья Юрьевна</cp:lastModifiedBy>
  <cp:revision>3</cp:revision>
  <dcterms:created xsi:type="dcterms:W3CDTF">2022-08-24T03:40:00Z</dcterms:created>
  <dcterms:modified xsi:type="dcterms:W3CDTF">2022-08-24T03:41:00Z</dcterms:modified>
</cp:coreProperties>
</file>