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Материалы по итогам проведения публичного мероприятия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 соблюдении контролируемыми лицами обязательных требований»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(19.09.2025)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12.1 </w:t>
      </w:r>
      <w:r>
        <w:rPr>
          <w:rFonts w:ascii="Times New Roman" w:hAnsi="Times New Roman" w:cs="Times New Roman"/>
          <w:sz w:val="28"/>
          <w:szCs w:val="28"/>
        </w:rPr>
        <w:t xml:space="preserve">Феде</w:t>
      </w:r>
      <w:r>
        <w:rPr>
          <w:rFonts w:ascii="Times New Roman" w:hAnsi="Times New Roman" w:cs="Times New Roman"/>
          <w:sz w:val="28"/>
          <w:szCs w:val="28"/>
        </w:rPr>
        <w:t xml:space="preserve">рального закона от 24.07.1998 № </w:t>
      </w:r>
      <w:r>
        <w:rPr>
          <w:rFonts w:ascii="Times New Roman" w:hAnsi="Times New Roman" w:cs="Times New Roman"/>
          <w:sz w:val="28"/>
          <w:szCs w:val="28"/>
        </w:rPr>
        <w:t xml:space="preserve">124-ФЗ «Об основных гарантиях прав ребенка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Фед</w:t>
      </w:r>
      <w:r>
        <w:rPr>
          <w:rFonts w:ascii="Times New Roman" w:hAnsi="Times New Roman" w:cs="Times New Roman"/>
          <w:sz w:val="28"/>
          <w:szCs w:val="28"/>
        </w:rPr>
        <w:t xml:space="preserve">еральный закон № 124</w:t>
      </w:r>
      <w:r>
        <w:rPr>
          <w:rFonts w:ascii="Times New Roman" w:hAnsi="Times New Roman" w:cs="Times New Roman"/>
          <w:sz w:val="28"/>
          <w:szCs w:val="28"/>
        </w:rPr>
        <w:t xml:space="preserve">-ФЗ)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Новосибирской области (далее – министерство)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уполномоченным органом исполнительной власти в сфере организации отдыха и оздоровления детей, осуществляющим </w:t>
      </w:r>
      <w:r>
        <w:rPr>
          <w:rFonts w:ascii="Times New Roman" w:hAnsi="Times New Roman" w:cs="Times New Roman"/>
          <w:sz w:val="28"/>
          <w:szCs w:val="28"/>
        </w:rPr>
        <w:t xml:space="preserve">в предела</w:t>
      </w:r>
      <w:r>
        <w:rPr>
          <w:rFonts w:ascii="Times New Roman" w:hAnsi="Times New Roman" w:cs="Times New Roman"/>
          <w:sz w:val="28"/>
          <w:szCs w:val="28"/>
        </w:rPr>
        <w:t xml:space="preserve">х своих полномочий региональный государственный контроль (надзор</w:t>
      </w:r>
      <w:r>
        <w:rPr>
          <w:rFonts w:ascii="Times New Roman" w:hAnsi="Times New Roman" w:cs="Times New Roman"/>
          <w:sz w:val="28"/>
          <w:szCs w:val="28"/>
        </w:rPr>
        <w:t xml:space="preserve">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государственный контроль (надзор)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государственным контролем</w:t>
      </w:r>
      <w:r>
        <w:rPr>
          <w:rFonts w:ascii="Times New Roman" w:hAnsi="Times New Roman" w:cs="Times New Roman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sz w:val="28"/>
          <w:szCs w:val="28"/>
        </w:rPr>
        <w:t xml:space="preserve">ом) </w:t>
      </w:r>
      <w:r>
        <w:rPr>
          <w:rFonts w:ascii="Times New Roman" w:hAnsi="Times New Roman" w:cs="Times New Roman"/>
          <w:sz w:val="28"/>
          <w:szCs w:val="28"/>
        </w:rPr>
        <w:t xml:space="preserve">в сфере организации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 xml:space="preserve"> понимается деятельность министерства, направленная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предупреждение, выявление и </w:t>
      </w:r>
      <w:r>
        <w:rPr>
          <w:rFonts w:ascii="Times New Roman" w:hAnsi="Times New Roman" w:cs="Times New Roman"/>
          <w:sz w:val="28"/>
          <w:szCs w:val="28"/>
        </w:rPr>
        <w:t xml:space="preserve">пресечение нарушений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организаций 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контролируемые лица)</w:t>
      </w:r>
      <w:r>
        <w:rPr>
          <w:rFonts w:ascii="Times New Roman" w:hAnsi="Times New Roman" w:cs="Times New Roman"/>
          <w:sz w:val="28"/>
          <w:szCs w:val="28"/>
        </w:rPr>
        <w:t xml:space="preserve">, содержащихся в </w:t>
      </w:r>
      <w:r>
        <w:rPr>
          <w:rFonts w:ascii="Times New Roman" w:hAnsi="Times New Roman" w:cs="Times New Roman"/>
          <w:sz w:val="28"/>
          <w:szCs w:val="28"/>
        </w:rPr>
        <w:t xml:space="preserve">реестр</w:t>
      </w:r>
      <w:r>
        <w:rPr>
          <w:rFonts w:ascii="Times New Roman" w:hAnsi="Times New Roman" w:cs="Times New Roman"/>
          <w:sz w:val="28"/>
          <w:szCs w:val="28"/>
        </w:rPr>
        <w:t xml:space="preserve">е организаций отдыха детей и их оздоровления на территории Новосибирской области (далее – реестр)</w:t>
      </w:r>
      <w:r>
        <w:rPr>
          <w:rFonts w:ascii="Times New Roman" w:hAnsi="Times New Roman" w:cs="Times New Roman"/>
          <w:sz w:val="28"/>
          <w:szCs w:val="28"/>
        </w:rPr>
        <w:t xml:space="preserve">, требований </w:t>
      </w:r>
      <w:r>
        <w:rPr>
          <w:rFonts w:ascii="Times New Roman" w:hAnsi="Times New Roman" w:cs="Times New Roman"/>
          <w:sz w:val="28"/>
          <w:szCs w:val="28"/>
        </w:rPr>
        <w:t xml:space="preserve">к достоверности, актуальности и полноте сведений о них, предст</w:t>
      </w:r>
      <w:r>
        <w:rPr>
          <w:rFonts w:ascii="Times New Roman" w:hAnsi="Times New Roman" w:cs="Times New Roman"/>
          <w:sz w:val="28"/>
          <w:szCs w:val="28"/>
        </w:rPr>
        <w:t xml:space="preserve">авляемых для включения в реестр </w:t>
      </w:r>
      <w:r>
        <w:rPr>
          <w:rFonts w:ascii="Times New Roman" w:hAnsi="Times New Roman" w:cs="Times New Roman"/>
          <w:sz w:val="28"/>
          <w:szCs w:val="28"/>
        </w:rPr>
        <w:t xml:space="preserve">(д</w:t>
      </w:r>
      <w:r>
        <w:rPr>
          <w:rFonts w:ascii="Times New Roman" w:hAnsi="Times New Roman" w:cs="Times New Roman"/>
          <w:sz w:val="28"/>
          <w:szCs w:val="28"/>
        </w:rPr>
        <w:t xml:space="preserve">алее – обязательные требования)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установленных Федеральным законом № 124-ФЗ.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Объектами государственного контроля (надзора)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1) деятельность, действия (бездействие) контролируемых лиц, в рамках которых должны соблюдаться обязательные требования;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2) результаты деятельности контролируемых лиц, в том числе услуги, к которым предъявляются обязательные требования.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05"/>
        <w:ind w:firstLine="709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целях учета объектов государственного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(надзора) и связанных с ними контролируемых лиц на о</w:t>
      </w:r>
      <w:r>
        <w:rPr>
          <w:rFonts w:ascii="Times New Roman" w:hAnsi="Times New Roman" w:cs="Times New Roman"/>
          <w:sz w:val="28"/>
          <w:szCs w:val="28"/>
        </w:rPr>
        <w:t xml:space="preserve">фициальном сайте министерства в 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сеть «Интернет») и информационной системе государственного контроля (надзора) содержится следующая информация: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наименование контролируемого лица;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идентификационный номер налогоплательщика;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наименование объекта государственного контроля (надзора);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сведения о категории риска причинения вреда (ущерба)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категория риска);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сведения о проведенных профилактических и контрольных (надзорных) мероприятиях.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Информация об объектах государственного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(надзора) и связанных с ними контролируемых лицах актуализируется по мере ее поступления.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государственного контроля (надзора) является соблюдение </w:t>
      </w:r>
      <w:r>
        <w:rPr>
          <w:rFonts w:ascii="Times New Roman" w:hAnsi="Times New Roman" w:cs="Times New Roman"/>
          <w:sz w:val="28"/>
          <w:szCs w:val="28"/>
        </w:rPr>
        <w:t xml:space="preserve">контролируемыми лицами обязательных требований.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должностных лиц министерства, уполномоченных осуществлять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контроль (надзор), утвержден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</w:t>
      </w:r>
      <w:r>
        <w:rPr>
          <w:rFonts w:ascii="Times New Roman" w:hAnsi="Times New Roman" w:cs="Times New Roman"/>
          <w:sz w:val="28"/>
          <w:szCs w:val="28"/>
        </w:rPr>
        <w:t xml:space="preserve">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20.09.2021 № 362-п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ind w:lef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Перечень объектов государственного контроля (надзора) ведется в едином реестре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lang w:val="ru-RU"/>
        </w:rPr>
      </w:r>
      <w:r/>
    </w:p>
    <w:p>
      <w:pPr>
        <w:pStyle w:val="904"/>
        <w:ind w:lef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Перечень объектов государственного контроля (надзора) по категории риска разме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щается на официальном сайте министерства в информационно-тел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екоммуникационной сети «Интернет».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</w:p>
    <w:p>
      <w:pPr>
        <w:pStyle w:val="904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16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Внесение сведений в перечень объектов государственного контроля (надзора) в единый реестр видов контроля может осуществляться с использованием единой системы межведомственного электронного взаимодействия.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</w:p>
    <w:p>
      <w:pPr>
        <w:pStyle w:val="904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16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Информация об объектах государственного контроля (надзора) и связанных с ним контролируемых лицах актуализируется по мере ее поступления.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</w:p>
    <w:p>
      <w:pPr>
        <w:pStyle w:val="904"/>
        <w:ind w:lef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lang w:val="ru-RU"/>
        </w:rPr>
        <w:t xml:space="preserve">(п. 10 в ред. </w:t>
      </w:r>
      <w:hyperlink r:id="rId11" w:tooltip="https://login.consultant.ru/link/?req=doc&amp;base=RLAW049&amp;n=183405&amp;dst=100008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28"/>
            <w:szCs w:val="28"/>
            <w:lang w:val="ru-RU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lang w:val="ru-RU"/>
        </w:rPr>
        <w:t xml:space="preserve"> Правительства Новосибирской области от 29.04.2025 № 200-п)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lang w:val="ru-RU"/>
        </w:rPr>
      </w:r>
    </w:p>
    <w:p>
      <w:pPr>
        <w:pStyle w:val="904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16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Перечень объектов государственного контроля (надзора) содержит следующую информацию: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</w:p>
    <w:p>
      <w:pPr>
        <w:pStyle w:val="904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16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1) наименование контролируемого лица;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</w:p>
    <w:p>
      <w:pPr>
        <w:pStyle w:val="904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16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2) идентификационный номер налогоплательщика;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</w:p>
    <w:p>
      <w:pPr>
        <w:pStyle w:val="904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16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3) наименование объекта государственного контроля (надзора);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</w:r>
    </w:p>
    <w:p>
      <w:pPr>
        <w:pStyle w:val="904"/>
        <w:ind w:lef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4) св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lang w:val="ru-RU"/>
        </w:rPr>
        <w:t xml:space="preserve">едения о категории риска причинения вреда (ущерба) (далее - категория риска).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lang w:val="ru-RU"/>
        </w:rPr>
      </w:r>
    </w:p>
    <w:p>
      <w:pPr>
        <w:pStyle w:val="904"/>
        <w:ind w:lef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lang w:val="ru-RU"/>
        </w:rPr>
        <w:t xml:space="preserve">(п. 11 в ред. </w:t>
      </w:r>
      <w:hyperlink r:id="rId12" w:tooltip="https://login.consultant.ru/link/?req=doc&amp;base=RLAW049&amp;n=183405&amp;dst=100013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28"/>
            <w:szCs w:val="28"/>
            <w:lang w:val="ru-RU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lang w:val="ru-RU"/>
        </w:rPr>
        <w:t xml:space="preserve"> Правительства Новосибирской области от 29.04.2025 №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lang w:val="ru-RU"/>
        </w:rPr>
        <w:t xml:space="preserve">200-п)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lang w:val="ru-RU"/>
        </w:rPr>
      </w:r>
    </w:p>
    <w:p>
      <w:pPr>
        <w:pStyle w:val="703"/>
        <w:ind w:firstLine="480"/>
        <w:jc w:val="both"/>
        <w:spacing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повышения качества и безопасности отдыха и оздоровления детей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контролируемые лица обязаны: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3"/>
        <w:ind w:firstLine="480"/>
        <w:jc w:val="both"/>
        <w:spacing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представлять сведения о своей деятельности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для включения в реестр;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3"/>
        <w:ind w:firstLine="480"/>
        <w:jc w:val="both"/>
        <w:spacing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исполнять иные обязанности,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3"/>
        <w:ind w:firstLine="480"/>
        <w:jc w:val="both"/>
        <w:spacing w:after="0" w:afterAutospacing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соответствии с пунктом 2.1 статьи 12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124-Ф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 контролируемые лица, не включенные в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еестр, не вправе оказывать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услуги, к которым предъявляются обязательные требования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3"/>
        <w:ind w:firstLine="480"/>
        <w:jc w:val="both"/>
        <w:spacing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еречень сведений, предоставляемых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контролируемыми лицами для включения в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еестр, определен пунктом 2 статьи 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 Федерального закона № 124-ФЗ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3"/>
        <w:ind w:firstLine="480"/>
        <w:jc w:val="both"/>
        <w:spacing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снованием для включения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контролируемых лиц в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еестр является осуществление деятельности в сфере организации отдыха и оздоровления детей или намерение осуществлять данную деятельность в соответствии с законодательством Российской Федерации при наличии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3"/>
        <w:ind w:firstLine="480"/>
        <w:jc w:val="both"/>
        <w:spacing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порядком формирования и ведения реестра, утвержденным приказом министерства от 02.03.2020 № 167 «Об установлении Порядка формирования и ведения реестра организаций отдыха детей и их оздоровления на территории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контролируемые лица предоставляют в министерство: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3"/>
        <w:ind w:firstLine="480"/>
        <w:jc w:val="both"/>
        <w:spacing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заявление руководителя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контролируемого органа о включении в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еестр;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3"/>
        <w:ind w:firstLine="480"/>
        <w:jc w:val="both"/>
        <w:spacing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копии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учредительных документов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ind w:firstLine="480"/>
        <w:jc w:val="both"/>
        <w:spacing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предоставленного заявления и копий учредительных документов производится оценка полноты сведений, предоставленных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контролируемым органом для включения в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еестр.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3"/>
        <w:ind w:firstLine="480"/>
        <w:jc w:val="both"/>
        <w:spacing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пределах своих полномочий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проверяется достоверность сведени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й, предоставленных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контролируемым лицом для включения в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еестр.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3"/>
        <w:ind w:firstLine="480"/>
        <w:jc w:val="both"/>
        <w:spacing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о включении (отказе о включени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и) в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еестр принимается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течение 20 рабочих дней со дня поступления сведений.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3"/>
        <w:ind w:firstLine="480"/>
        <w:jc w:val="both"/>
        <w:spacing w:after="0" w:afterAutospacing="0"/>
        <w:shd w:val="clear" w:color="auto" w:fill="ffff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правовые акты, содержащие обязательные требования, соблюдение которых оценивается при проведении мероприятий по осуществлению государс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твенного контроля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(надзора)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размещены на официальном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сайте министерства.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03"/>
        <w:ind w:firstLine="480"/>
        <w:jc w:val="both"/>
        <w:spacing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Основаниями для исключения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контролируемых лиц из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еестра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3"/>
        <w:ind w:firstLine="480"/>
        <w:jc w:val="both"/>
        <w:spacing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прекращение деятельности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числе в случаях исключения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если такие изменения повлекут невозможность осуществления деятельности в сфере организации отдыха и оздоровления детей;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3"/>
        <w:ind w:firstLine="480"/>
        <w:jc w:val="both"/>
        <w:spacing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систематическое нарушение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контролируемыми лицами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требований законодательства Российской Федерации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сфере организации отдыха и оздоровления детей,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Федерации в сфере организации отдыха и оздоровления детей, которые могут повлечь причинение вреда жизни и здоровью детей, находящихся в организациях отдыха детей и их оздоровления, и которые выявлены по итогам проведения плановых и внеплановых проверок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3"/>
        <w:ind w:firstLine="480"/>
        <w:jc w:val="both"/>
        <w:spacing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выявление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недостоверных сведений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контролируемых лицах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представленных для включения в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2"/>
        <w:ind w:firstLine="708"/>
        <w:jc w:val="both"/>
        <w:spacing w:before="0" w:beforeAutospacing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2"/>
        <w:ind w:firstLine="708"/>
        <w:jc w:val="both"/>
        <w:spacing w:before="0" w:beforeAutospacing="0"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headerReference w:type="default" r:id="rId8"/>
      <w:footerReference w:type="firs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sz w:val="20"/>
        <w:szCs w:val="20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9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4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3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4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5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98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2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3" w:default="1">
    <w:name w:val="Normal"/>
    <w:qFormat/>
  </w:style>
  <w:style w:type="paragraph" w:styleId="704">
    <w:name w:val="Heading 1"/>
    <w:basedOn w:val="703"/>
    <w:next w:val="703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next w:val="70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next w:val="703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next w:val="703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0">
    <w:name w:val="Heading 7"/>
    <w:basedOn w:val="703"/>
    <w:next w:val="703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next w:val="703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next w:val="703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18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3"/>
    <w:uiPriority w:val="10"/>
    <w:rPr>
      <w:sz w:val="48"/>
      <w:szCs w:val="48"/>
    </w:rPr>
  </w:style>
  <w:style w:type="character" w:styleId="726" w:customStyle="1">
    <w:name w:val="Subtitle Char"/>
    <w:basedOn w:val="713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Caption Char"/>
    <w:uiPriority w:val="99"/>
  </w:style>
  <w:style w:type="character" w:styleId="730" w:customStyle="1">
    <w:name w:val="Footnote Text Char"/>
    <w:uiPriority w:val="99"/>
    <w:rPr>
      <w:sz w:val="18"/>
    </w:rPr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3"/>
    <w:link w:val="705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basedOn w:val="713"/>
    <w:link w:val="706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basedOn w:val="713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basedOn w:val="71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basedOn w:val="71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703"/>
    <w:uiPriority w:val="34"/>
    <w:qFormat/>
    <w:pPr>
      <w:contextualSpacing/>
      <w:ind w:left="720"/>
    </w:pPr>
  </w:style>
  <w:style w:type="paragraph" w:styleId="742">
    <w:name w:val="No Spacing"/>
    <w:uiPriority w:val="1"/>
    <w:qFormat/>
    <w:pPr>
      <w:spacing w:after="0" w:line="240" w:lineRule="auto"/>
    </w:pPr>
  </w:style>
  <w:style w:type="paragraph" w:styleId="743">
    <w:name w:val="Title"/>
    <w:basedOn w:val="703"/>
    <w:next w:val="703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Название Знак"/>
    <w:basedOn w:val="713"/>
    <w:link w:val="743"/>
    <w:uiPriority w:val="10"/>
    <w:rPr>
      <w:sz w:val="48"/>
      <w:szCs w:val="48"/>
    </w:rPr>
  </w:style>
  <w:style w:type="paragraph" w:styleId="745">
    <w:name w:val="Subtitle"/>
    <w:basedOn w:val="703"/>
    <w:next w:val="703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basedOn w:val="713"/>
    <w:link w:val="745"/>
    <w:uiPriority w:val="11"/>
    <w:rPr>
      <w:sz w:val="24"/>
      <w:szCs w:val="24"/>
    </w:rPr>
  </w:style>
  <w:style w:type="paragraph" w:styleId="747">
    <w:name w:val="Quote"/>
    <w:basedOn w:val="703"/>
    <w:next w:val="703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03"/>
    <w:next w:val="703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character" w:styleId="751" w:customStyle="1">
    <w:name w:val="Header Char"/>
    <w:basedOn w:val="713"/>
    <w:uiPriority w:val="99"/>
  </w:style>
  <w:style w:type="paragraph" w:styleId="752">
    <w:name w:val="Footer"/>
    <w:basedOn w:val="703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 w:customStyle="1">
    <w:name w:val="Footer Char"/>
    <w:basedOn w:val="713"/>
    <w:uiPriority w:val="99"/>
  </w:style>
  <w:style w:type="paragraph" w:styleId="754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5" w:customStyle="1">
    <w:name w:val="Нижний колонтитул Знак"/>
    <w:link w:val="752"/>
    <w:uiPriority w:val="99"/>
  </w:style>
  <w:style w:type="table" w:styleId="756" w:customStyle="1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Таблица простая 11"/>
    <w:basedOn w:val="71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Таблица простая 2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Таблица простая 3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Таблица простая 4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 простая 5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1 светлая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Таблица-сетка 2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Таблица-сетка 3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4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5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7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9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0" w:customStyle="1">
    <w:name w:val="Таблица-сетка 5 темная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7" w:customStyle="1">
    <w:name w:val="Таблица-сетка 6 цветная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9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0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1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2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Таблица-сетка 7 цветная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Список-таблица 1 светлая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Список-таблица 2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5" w:customStyle="1">
    <w:name w:val="Список-таблица 3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Список-таблица 4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Список-таблица 5 темная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Список-таблица 6 цветная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8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9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0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1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2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3" w:customStyle="1">
    <w:name w:val="Список-таблица 7 цветная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6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7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8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9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0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563c1" w:themeColor="hyperlink"/>
      <w:u w:val="single"/>
    </w:rPr>
  </w:style>
  <w:style w:type="paragraph" w:styleId="882">
    <w:name w:val="footnote text"/>
    <w:basedOn w:val="703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basedOn w:val="713"/>
    <w:uiPriority w:val="99"/>
    <w:unhideWhenUsed/>
    <w:rPr>
      <w:vertAlign w:val="superscript"/>
    </w:rPr>
  </w:style>
  <w:style w:type="paragraph" w:styleId="885">
    <w:name w:val="endnote text"/>
    <w:basedOn w:val="703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basedOn w:val="713"/>
    <w:uiPriority w:val="99"/>
    <w:semiHidden/>
    <w:unhideWhenUsed/>
    <w:rPr>
      <w:vertAlign w:val="superscript"/>
    </w:rPr>
  </w:style>
  <w:style w:type="paragraph" w:styleId="888">
    <w:name w:val="toc 1"/>
    <w:basedOn w:val="703"/>
    <w:next w:val="703"/>
    <w:uiPriority w:val="39"/>
    <w:unhideWhenUsed/>
    <w:pPr>
      <w:spacing w:after="57"/>
    </w:pPr>
  </w:style>
  <w:style w:type="paragraph" w:styleId="889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90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91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92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93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94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95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96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03"/>
    <w:next w:val="703"/>
    <w:uiPriority w:val="99"/>
    <w:unhideWhenUsed/>
    <w:pPr>
      <w:spacing w:after="0"/>
    </w:pPr>
  </w:style>
  <w:style w:type="table" w:styleId="89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0">
    <w:name w:val="Header"/>
    <w:basedOn w:val="703"/>
    <w:link w:val="901"/>
    <w:uiPriority w:val="99"/>
    <w:unhideWhenUsed/>
    <w:pPr>
      <w:jc w:val="center"/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cs="Times New Roman"/>
    </w:rPr>
  </w:style>
  <w:style w:type="character" w:styleId="901" w:customStyle="1">
    <w:name w:val="Верхний колонтитул Знак"/>
    <w:link w:val="900"/>
    <w:uiPriority w:val="99"/>
    <w:rPr>
      <w:rFonts w:ascii="Times New Roman" w:hAnsi="Times New Roman" w:cs="Times New Roman"/>
    </w:rPr>
  </w:style>
  <w:style w:type="paragraph" w:styleId="902">
    <w:name w:val="Balloon Text"/>
    <w:basedOn w:val="703"/>
    <w:link w:val="90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basedOn w:val="713"/>
    <w:link w:val="902"/>
    <w:uiPriority w:val="99"/>
    <w:semiHidden/>
    <w:rPr>
      <w:rFonts w:ascii="Segoe UI" w:hAnsi="Segoe UI" w:cs="Segoe UI"/>
      <w:sz w:val="18"/>
      <w:szCs w:val="18"/>
    </w:rPr>
  </w:style>
  <w:style w:type="paragraph" w:styleId="90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05" w:customStyle="1">
    <w:name w:val="ConsPlusNormal"/>
    <w:qFormat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049&amp;n=183405&amp;dst=100008" TargetMode="External"/><Relationship Id="rId12" Type="http://schemas.openxmlformats.org/officeDocument/2006/relationships/hyperlink" Target="https://login.consultant.ru/link/?req=doc&amp;base=RLAW049&amp;n=183405&amp;dst=10001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C716-20EF-4FE4-9D1F-B5C00EE3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Скоромных Наталья Юрьевна</dc:creator>
  <cp:revision>12</cp:revision>
  <dcterms:created xsi:type="dcterms:W3CDTF">2024-12-06T09:28:00Z</dcterms:created>
  <dcterms:modified xsi:type="dcterms:W3CDTF">2025-09-16T11:40:41Z</dcterms:modified>
</cp:coreProperties>
</file>