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D7" w:rsidRDefault="00B54F02" w:rsidP="00E8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F0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85A79" w:rsidRDefault="00B54F02" w:rsidP="00E8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F02">
        <w:rPr>
          <w:rFonts w:ascii="Times New Roman" w:hAnsi="Times New Roman" w:cs="Times New Roman"/>
          <w:sz w:val="28"/>
          <w:szCs w:val="28"/>
        </w:rPr>
        <w:t>к прогнозу баланса трудовых ресурсов Новосибирской области на 201</w:t>
      </w:r>
      <w:r w:rsidR="00CF73F7">
        <w:rPr>
          <w:rFonts w:ascii="Times New Roman" w:hAnsi="Times New Roman" w:cs="Times New Roman"/>
          <w:sz w:val="28"/>
          <w:szCs w:val="28"/>
        </w:rPr>
        <w:t>9</w:t>
      </w:r>
      <w:r w:rsidRPr="00B54F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4F5F" w:rsidRDefault="00B54F02" w:rsidP="00E8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F02">
        <w:rPr>
          <w:rFonts w:ascii="Times New Roman" w:hAnsi="Times New Roman" w:cs="Times New Roman"/>
          <w:sz w:val="28"/>
          <w:szCs w:val="28"/>
        </w:rPr>
        <w:t xml:space="preserve"> и </w:t>
      </w:r>
      <w:r w:rsidR="00237121">
        <w:rPr>
          <w:rFonts w:ascii="Times New Roman" w:hAnsi="Times New Roman" w:cs="Times New Roman"/>
          <w:sz w:val="28"/>
          <w:szCs w:val="28"/>
        </w:rPr>
        <w:t>прогнозн</w:t>
      </w:r>
      <w:r w:rsidR="00CF73F7">
        <w:rPr>
          <w:rFonts w:ascii="Times New Roman" w:hAnsi="Times New Roman" w:cs="Times New Roman"/>
          <w:sz w:val="28"/>
          <w:szCs w:val="28"/>
        </w:rPr>
        <w:t>ый период 2020</w:t>
      </w:r>
      <w:r w:rsidRPr="00B54F02">
        <w:rPr>
          <w:rFonts w:ascii="Times New Roman" w:hAnsi="Times New Roman" w:cs="Times New Roman"/>
          <w:sz w:val="28"/>
          <w:szCs w:val="28"/>
        </w:rPr>
        <w:t>-20</w:t>
      </w:r>
      <w:r w:rsidR="008514DA">
        <w:rPr>
          <w:rFonts w:ascii="Times New Roman" w:hAnsi="Times New Roman" w:cs="Times New Roman"/>
          <w:sz w:val="28"/>
          <w:szCs w:val="28"/>
        </w:rPr>
        <w:t>2</w:t>
      </w:r>
      <w:r w:rsidR="00CF73F7">
        <w:rPr>
          <w:rFonts w:ascii="Times New Roman" w:hAnsi="Times New Roman" w:cs="Times New Roman"/>
          <w:sz w:val="28"/>
          <w:szCs w:val="28"/>
        </w:rPr>
        <w:t>1</w:t>
      </w:r>
      <w:r w:rsidRPr="00B54F0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866FB" w:rsidRDefault="00E866FB" w:rsidP="00E8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EF4" w:rsidRPr="00A60625" w:rsidRDefault="00C36EF4" w:rsidP="00556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4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27295" w:rsidRPr="00A60625">
        <w:rPr>
          <w:rFonts w:ascii="Times New Roman" w:hAnsi="Times New Roman" w:cs="Times New Roman"/>
          <w:sz w:val="28"/>
          <w:szCs w:val="28"/>
        </w:rPr>
        <w:t>Прогноз баланса трудовых ресурсов Новосибирской области разработан министерством труда</w:t>
      </w:r>
      <w:r w:rsidR="00CF73F7" w:rsidRPr="00A60625"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="00C27295" w:rsidRPr="00A6062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7433D" w:rsidRPr="00A60625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C27295" w:rsidRPr="00A60625">
        <w:rPr>
          <w:rFonts w:ascii="Times New Roman" w:hAnsi="Times New Roman" w:cs="Times New Roman"/>
          <w:sz w:val="28"/>
          <w:szCs w:val="28"/>
        </w:rPr>
        <w:t>в</w:t>
      </w:r>
      <w:r w:rsidR="00237121" w:rsidRPr="00A60625"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 w:rsidR="0017433D" w:rsidRPr="00A60625">
        <w:rPr>
          <w:rFonts w:ascii="Times New Roman" w:hAnsi="Times New Roman" w:cs="Times New Roman"/>
          <w:sz w:val="28"/>
          <w:szCs w:val="28"/>
        </w:rPr>
        <w:t xml:space="preserve"> </w:t>
      </w:r>
      <w:r w:rsidR="00237121" w:rsidRPr="00A60625">
        <w:rPr>
          <w:rFonts w:ascii="Times New Roman" w:hAnsi="Times New Roman" w:cs="Times New Roman"/>
          <w:sz w:val="28"/>
          <w:szCs w:val="28"/>
        </w:rPr>
        <w:t xml:space="preserve">4 </w:t>
      </w:r>
      <w:r w:rsidR="00F8197C" w:rsidRPr="00A60625">
        <w:rPr>
          <w:rFonts w:ascii="Times New Roman" w:hAnsi="Times New Roman" w:cs="Times New Roman"/>
          <w:sz w:val="28"/>
          <w:szCs w:val="28"/>
        </w:rPr>
        <w:t>статьи 7.1 </w:t>
      </w:r>
      <w:r w:rsidR="00B54F02" w:rsidRPr="00A60625">
        <w:rPr>
          <w:rFonts w:ascii="Times New Roman" w:hAnsi="Times New Roman" w:cs="Times New Roman"/>
          <w:sz w:val="28"/>
          <w:szCs w:val="28"/>
        </w:rPr>
        <w:t>-</w:t>
      </w:r>
      <w:r w:rsidR="00F8197C" w:rsidRPr="00A60625">
        <w:rPr>
          <w:rFonts w:ascii="Times New Roman" w:hAnsi="Times New Roman" w:cs="Times New Roman"/>
          <w:sz w:val="28"/>
          <w:szCs w:val="28"/>
        </w:rPr>
        <w:t> </w:t>
      </w:r>
      <w:r w:rsidR="00B54F02" w:rsidRPr="00A60625">
        <w:rPr>
          <w:rFonts w:ascii="Times New Roman" w:hAnsi="Times New Roman" w:cs="Times New Roman"/>
          <w:sz w:val="28"/>
          <w:szCs w:val="28"/>
        </w:rPr>
        <w:t xml:space="preserve">1 Закона Российской Федерации </w:t>
      </w:r>
      <w:r w:rsidR="008266C3" w:rsidRPr="00A60625">
        <w:rPr>
          <w:rFonts w:ascii="Times New Roman" w:hAnsi="Times New Roman" w:cs="Times New Roman"/>
          <w:sz w:val="28"/>
          <w:szCs w:val="28"/>
        </w:rPr>
        <w:t xml:space="preserve">от 19.04.1991 № 1032-1 </w:t>
      </w:r>
      <w:r w:rsidR="00D85A79" w:rsidRPr="00A60625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</w:t>
      </w:r>
      <w:r w:rsidR="00B54F02" w:rsidRPr="00A60625">
        <w:rPr>
          <w:rFonts w:ascii="Times New Roman" w:hAnsi="Times New Roman" w:cs="Times New Roman"/>
          <w:sz w:val="28"/>
          <w:szCs w:val="28"/>
        </w:rPr>
        <w:t>,</w:t>
      </w:r>
      <w:r w:rsidR="002C174D" w:rsidRPr="00A60625">
        <w:rPr>
          <w:rFonts w:ascii="Times New Roman" w:hAnsi="Times New Roman" w:cs="Times New Roman"/>
          <w:sz w:val="28"/>
          <w:szCs w:val="28"/>
        </w:rPr>
        <w:t xml:space="preserve"> </w:t>
      </w:r>
      <w:r w:rsidR="00237121" w:rsidRPr="00A6062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CF73F7" w:rsidRPr="00A60625">
        <w:rPr>
          <w:rFonts w:ascii="Times New Roman" w:hAnsi="Times New Roman" w:cs="Times New Roman"/>
          <w:sz w:val="28"/>
          <w:szCs w:val="28"/>
        </w:rPr>
        <w:t xml:space="preserve">от </w:t>
      </w:r>
      <w:r w:rsidR="008266C3" w:rsidRPr="00A60625">
        <w:rPr>
          <w:rFonts w:ascii="Times New Roman" w:hAnsi="Times New Roman" w:cs="Times New Roman"/>
          <w:sz w:val="28"/>
          <w:szCs w:val="28"/>
        </w:rPr>
        <w:t>0</w:t>
      </w:r>
      <w:r w:rsidR="00CF73F7" w:rsidRPr="00A60625">
        <w:rPr>
          <w:rFonts w:ascii="Times New Roman" w:hAnsi="Times New Roman" w:cs="Times New Roman"/>
          <w:sz w:val="28"/>
          <w:szCs w:val="28"/>
        </w:rPr>
        <w:t>3</w:t>
      </w:r>
      <w:r w:rsidR="008266C3" w:rsidRPr="00A60625">
        <w:rPr>
          <w:rFonts w:ascii="Times New Roman" w:hAnsi="Times New Roman" w:cs="Times New Roman"/>
          <w:sz w:val="28"/>
          <w:szCs w:val="28"/>
        </w:rPr>
        <w:t xml:space="preserve">.06.2011 № 440 </w:t>
      </w:r>
      <w:r w:rsidR="00D85A79" w:rsidRPr="00A60625">
        <w:rPr>
          <w:rFonts w:ascii="Times New Roman" w:hAnsi="Times New Roman" w:cs="Times New Roman"/>
          <w:sz w:val="28"/>
          <w:szCs w:val="28"/>
        </w:rPr>
        <w:t>«О разработке прогноза баланса трудовых ресурсов»</w:t>
      </w:r>
      <w:r w:rsidR="00237121" w:rsidRPr="00A60625">
        <w:rPr>
          <w:rFonts w:ascii="Times New Roman" w:hAnsi="Times New Roman" w:cs="Times New Roman"/>
          <w:sz w:val="28"/>
          <w:szCs w:val="28"/>
        </w:rPr>
        <w:t>,</w:t>
      </w:r>
      <w:r w:rsidR="00481472" w:rsidRPr="00A60625">
        <w:rPr>
          <w:rFonts w:ascii="Times New Roman" w:hAnsi="Times New Roman" w:cs="Times New Roman"/>
          <w:sz w:val="28"/>
          <w:szCs w:val="28"/>
        </w:rPr>
        <w:t xml:space="preserve"> </w:t>
      </w:r>
      <w:r w:rsidR="006C56B3" w:rsidRPr="00A60625">
        <w:rPr>
          <w:rFonts w:ascii="Times New Roman" w:hAnsi="Times New Roman" w:cs="Times New Roman"/>
          <w:sz w:val="28"/>
          <w:szCs w:val="28"/>
        </w:rPr>
        <w:t>Методикой разработки прогноза баланса трудовых ресурсов, утвержденной приказом Министерства здравоохранения и</w:t>
      </w:r>
      <w:proofErr w:type="gramEnd"/>
      <w:r w:rsidR="006C56B3" w:rsidRPr="00A60625">
        <w:rPr>
          <w:rFonts w:ascii="Times New Roman" w:hAnsi="Times New Roman" w:cs="Times New Roman"/>
          <w:sz w:val="28"/>
          <w:szCs w:val="28"/>
        </w:rPr>
        <w:t xml:space="preserve"> социального развития Российской Федерации от 29 февраля 2012 года № 178н, </w:t>
      </w:r>
      <w:r w:rsidR="00D85A79" w:rsidRPr="00A606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44E0" w:rsidRPr="00A606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248C4" w:rsidRPr="00A60625">
        <w:rPr>
          <w:rFonts w:ascii="Times New Roman" w:hAnsi="Times New Roman" w:cs="Times New Roman"/>
          <w:sz w:val="28"/>
          <w:szCs w:val="28"/>
        </w:rPr>
        <w:t xml:space="preserve">с </w:t>
      </w:r>
      <w:r w:rsidR="00A60625" w:rsidRPr="00A60625">
        <w:rPr>
          <w:rFonts w:ascii="Times New Roman" w:hAnsi="Times New Roman" w:cs="Times New Roman"/>
          <w:sz w:val="28"/>
          <w:szCs w:val="28"/>
        </w:rPr>
        <w:t>П</w:t>
      </w:r>
      <w:r w:rsidR="00B4102A" w:rsidRPr="00A60625">
        <w:rPr>
          <w:rFonts w:ascii="Times New Roman" w:hAnsi="Times New Roman" w:cs="Times New Roman"/>
          <w:sz w:val="28"/>
          <w:szCs w:val="28"/>
        </w:rPr>
        <w:t>оложением о министерстве, утвержденным постановлением Правительства Новосибирской области от 01.08.2017 № 296-п.</w:t>
      </w:r>
    </w:p>
    <w:p w:rsidR="00A73063" w:rsidRPr="00B24307" w:rsidRDefault="00C36EF4" w:rsidP="0073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2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F36DC" w:rsidRPr="00A60625">
        <w:rPr>
          <w:rFonts w:ascii="Times New Roman" w:hAnsi="Times New Roman" w:cs="Times New Roman"/>
          <w:sz w:val="28"/>
          <w:szCs w:val="28"/>
        </w:rPr>
        <w:t>При подготовке прогноза баланса трудовых ресурсов Новосибирской области использовались</w:t>
      </w:r>
      <w:r w:rsidR="0072769A" w:rsidRPr="00A60625">
        <w:rPr>
          <w:rFonts w:ascii="Times New Roman" w:hAnsi="Times New Roman" w:cs="Times New Roman"/>
          <w:sz w:val="28"/>
          <w:szCs w:val="28"/>
        </w:rPr>
        <w:t> </w:t>
      </w:r>
      <w:r w:rsidR="0002112E">
        <w:rPr>
          <w:rFonts w:ascii="Times New Roman" w:hAnsi="Times New Roman" w:cs="Times New Roman"/>
          <w:sz w:val="28"/>
          <w:szCs w:val="28"/>
        </w:rPr>
        <w:t xml:space="preserve">экспертные </w:t>
      </w:r>
      <w:r w:rsidR="004F5E61" w:rsidRPr="00A60625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933A54" w:rsidRPr="00A60625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B557DD" w:rsidRPr="00A60625">
        <w:rPr>
          <w:rFonts w:ascii="Times New Roman" w:hAnsi="Times New Roman" w:cs="Times New Roman"/>
          <w:sz w:val="28"/>
          <w:szCs w:val="28"/>
        </w:rPr>
        <w:t>и</w:t>
      </w:r>
      <w:r w:rsidR="00A73063" w:rsidRPr="00A60625">
        <w:rPr>
          <w:rFonts w:ascii="Times New Roman" w:hAnsi="Times New Roman" w:cs="Times New Roman"/>
          <w:sz w:val="28"/>
          <w:szCs w:val="28"/>
        </w:rPr>
        <w:t>сполнительных органов государственной власти Новосибирской области</w:t>
      </w:r>
      <w:r w:rsidR="00FE31AD" w:rsidRPr="00A60625">
        <w:rPr>
          <w:rFonts w:ascii="Times New Roman" w:hAnsi="Times New Roman" w:cs="Times New Roman"/>
          <w:sz w:val="28"/>
          <w:szCs w:val="28"/>
        </w:rPr>
        <w:t xml:space="preserve">, </w:t>
      </w:r>
      <w:r w:rsidR="000463D7" w:rsidRPr="00A60625">
        <w:rPr>
          <w:rFonts w:ascii="Times New Roman" w:hAnsi="Times New Roman" w:cs="Times New Roman"/>
          <w:sz w:val="28"/>
          <w:szCs w:val="28"/>
        </w:rPr>
        <w:t>отделени</w:t>
      </w:r>
      <w:r w:rsidR="00FE31AD" w:rsidRPr="00A60625">
        <w:rPr>
          <w:rFonts w:ascii="Times New Roman" w:hAnsi="Times New Roman" w:cs="Times New Roman"/>
          <w:sz w:val="28"/>
          <w:szCs w:val="28"/>
        </w:rPr>
        <w:t>я</w:t>
      </w:r>
      <w:r w:rsidR="000463D7" w:rsidRPr="00A60625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Новосибирской области (далее – </w:t>
      </w:r>
      <w:r w:rsidR="0088288A" w:rsidRPr="00A60625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0463D7" w:rsidRPr="00A60625">
        <w:rPr>
          <w:rFonts w:ascii="Times New Roman" w:hAnsi="Times New Roman" w:cs="Times New Roman"/>
          <w:sz w:val="28"/>
          <w:szCs w:val="28"/>
        </w:rPr>
        <w:t>Пенсионн</w:t>
      </w:r>
      <w:r w:rsidR="0088288A" w:rsidRPr="00A60625">
        <w:rPr>
          <w:rFonts w:ascii="Times New Roman" w:hAnsi="Times New Roman" w:cs="Times New Roman"/>
          <w:sz w:val="28"/>
          <w:szCs w:val="28"/>
        </w:rPr>
        <w:t>ого</w:t>
      </w:r>
      <w:r w:rsidR="000463D7" w:rsidRPr="00A60625">
        <w:rPr>
          <w:rFonts w:ascii="Times New Roman" w:hAnsi="Times New Roman" w:cs="Times New Roman"/>
          <w:sz w:val="28"/>
          <w:szCs w:val="28"/>
        </w:rPr>
        <w:t xml:space="preserve"> фонд</w:t>
      </w:r>
      <w:r w:rsidR="0088288A" w:rsidRPr="00A60625">
        <w:rPr>
          <w:rFonts w:ascii="Times New Roman" w:hAnsi="Times New Roman" w:cs="Times New Roman"/>
          <w:sz w:val="28"/>
          <w:szCs w:val="28"/>
        </w:rPr>
        <w:t>а</w:t>
      </w:r>
      <w:r w:rsidR="000463D7" w:rsidRPr="00A60625">
        <w:rPr>
          <w:rFonts w:ascii="Times New Roman" w:hAnsi="Times New Roman" w:cs="Times New Roman"/>
          <w:sz w:val="28"/>
          <w:szCs w:val="28"/>
        </w:rPr>
        <w:t xml:space="preserve"> РФ</w:t>
      </w:r>
      <w:r w:rsidR="00CE66C6" w:rsidRPr="00A60625">
        <w:rPr>
          <w:rFonts w:ascii="Times New Roman" w:hAnsi="Times New Roman" w:cs="Times New Roman"/>
          <w:sz w:val="28"/>
          <w:szCs w:val="28"/>
        </w:rPr>
        <w:t xml:space="preserve"> по </w:t>
      </w:r>
      <w:r w:rsidR="00B4102A" w:rsidRPr="00A60625">
        <w:rPr>
          <w:rFonts w:ascii="Times New Roman" w:hAnsi="Times New Roman" w:cs="Times New Roman"/>
          <w:sz w:val="28"/>
          <w:szCs w:val="28"/>
        </w:rPr>
        <w:t>НСО</w:t>
      </w:r>
      <w:r w:rsidR="000463D7" w:rsidRPr="00A60625">
        <w:rPr>
          <w:rFonts w:ascii="Times New Roman" w:hAnsi="Times New Roman" w:cs="Times New Roman"/>
          <w:sz w:val="28"/>
          <w:szCs w:val="28"/>
        </w:rPr>
        <w:t>),</w:t>
      </w:r>
      <w:r w:rsidR="00AA25E9" w:rsidRPr="00A60625">
        <w:rPr>
          <w:rFonts w:ascii="Times New Roman" w:hAnsi="Times New Roman" w:cs="Times New Roman"/>
          <w:sz w:val="28"/>
          <w:szCs w:val="28"/>
        </w:rPr>
        <w:t xml:space="preserve"> </w:t>
      </w:r>
      <w:r w:rsidR="00736970">
        <w:rPr>
          <w:rFonts w:ascii="Times New Roman" w:hAnsi="Times New Roman" w:cs="Times New Roman"/>
          <w:sz w:val="28"/>
          <w:szCs w:val="28"/>
        </w:rPr>
        <w:t>Т</w:t>
      </w:r>
      <w:r w:rsidR="000463D7" w:rsidRPr="00A60625">
        <w:rPr>
          <w:rFonts w:ascii="Times New Roman" w:hAnsi="Times New Roman" w:cs="Times New Roman"/>
          <w:sz w:val="28"/>
          <w:szCs w:val="28"/>
        </w:rPr>
        <w:t>ерриториальн</w:t>
      </w:r>
      <w:r w:rsidR="0088288A" w:rsidRPr="00A60625">
        <w:rPr>
          <w:rFonts w:ascii="Times New Roman" w:hAnsi="Times New Roman" w:cs="Times New Roman"/>
          <w:sz w:val="28"/>
          <w:szCs w:val="28"/>
        </w:rPr>
        <w:t>ого</w:t>
      </w:r>
      <w:r w:rsidR="000463D7" w:rsidRPr="00A6062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8288A" w:rsidRPr="00A60625">
        <w:rPr>
          <w:rFonts w:ascii="Times New Roman" w:hAnsi="Times New Roman" w:cs="Times New Roman"/>
          <w:sz w:val="28"/>
          <w:szCs w:val="28"/>
        </w:rPr>
        <w:t>а</w:t>
      </w:r>
      <w:r w:rsidR="000463D7" w:rsidRPr="00A60625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Новосибирской области (далее – </w:t>
      </w:r>
      <w:proofErr w:type="spellStart"/>
      <w:r w:rsidR="000463D7" w:rsidRPr="00A60625">
        <w:rPr>
          <w:rFonts w:ascii="Times New Roman" w:hAnsi="Times New Roman" w:cs="Times New Roman"/>
          <w:sz w:val="28"/>
          <w:szCs w:val="28"/>
        </w:rPr>
        <w:t>Новосибирскстат</w:t>
      </w:r>
      <w:proofErr w:type="spellEnd"/>
      <w:r w:rsidR="000463D7" w:rsidRPr="00A60625">
        <w:rPr>
          <w:rFonts w:ascii="Times New Roman" w:hAnsi="Times New Roman" w:cs="Times New Roman"/>
          <w:sz w:val="28"/>
          <w:szCs w:val="28"/>
        </w:rPr>
        <w:t xml:space="preserve">), </w:t>
      </w:r>
      <w:r w:rsidR="007F5170" w:rsidRPr="00A60625">
        <w:rPr>
          <w:rFonts w:ascii="Times New Roman" w:hAnsi="Times New Roman" w:cs="Times New Roman"/>
          <w:sz w:val="28"/>
          <w:szCs w:val="28"/>
        </w:rPr>
        <w:t xml:space="preserve"> Новосибирско</w:t>
      </w:r>
      <w:r w:rsidR="000463D7" w:rsidRPr="00A60625">
        <w:rPr>
          <w:rFonts w:ascii="Times New Roman" w:hAnsi="Times New Roman" w:cs="Times New Roman"/>
          <w:sz w:val="28"/>
          <w:szCs w:val="28"/>
        </w:rPr>
        <w:t>го</w:t>
      </w:r>
      <w:r w:rsidR="007F5170" w:rsidRPr="00A60625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0463D7" w:rsidRPr="00A60625">
        <w:rPr>
          <w:rFonts w:ascii="Times New Roman" w:hAnsi="Times New Roman" w:cs="Times New Roman"/>
          <w:sz w:val="28"/>
          <w:szCs w:val="28"/>
        </w:rPr>
        <w:t>го</w:t>
      </w:r>
      <w:r w:rsidR="007F5170" w:rsidRPr="00A6062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0463D7" w:rsidRPr="00A60625">
        <w:rPr>
          <w:rFonts w:ascii="Times New Roman" w:hAnsi="Times New Roman" w:cs="Times New Roman"/>
          <w:sz w:val="28"/>
          <w:szCs w:val="28"/>
        </w:rPr>
        <w:t>я</w:t>
      </w:r>
      <w:r w:rsidR="007F5170" w:rsidRPr="00A6062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</w:t>
      </w:r>
      <w:r w:rsidR="00DA6A58" w:rsidRPr="00A6062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463D7" w:rsidRPr="00A60625">
        <w:rPr>
          <w:rFonts w:ascii="Times New Roman" w:hAnsi="Times New Roman" w:cs="Times New Roman"/>
          <w:sz w:val="28"/>
          <w:szCs w:val="28"/>
        </w:rPr>
        <w:t xml:space="preserve">, </w:t>
      </w:r>
      <w:r w:rsidR="00AA25E9" w:rsidRPr="00A6062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74282">
        <w:rPr>
          <w:rFonts w:ascii="Times New Roman" w:hAnsi="Times New Roman" w:cs="Times New Roman"/>
          <w:sz w:val="28"/>
          <w:szCs w:val="28"/>
        </w:rPr>
        <w:t>по вопросам миграции ГУ МВД России по</w:t>
      </w:r>
      <w:proofErr w:type="gramEnd"/>
      <w:r w:rsidR="00474282">
        <w:rPr>
          <w:rFonts w:ascii="Times New Roman" w:hAnsi="Times New Roman" w:cs="Times New Roman"/>
          <w:sz w:val="28"/>
          <w:szCs w:val="28"/>
        </w:rPr>
        <w:t xml:space="preserve"> </w:t>
      </w:r>
      <w:r w:rsidR="00AA25E9" w:rsidRPr="00A60625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474282">
        <w:rPr>
          <w:rFonts w:ascii="Times New Roman" w:hAnsi="Times New Roman" w:cs="Times New Roman"/>
          <w:sz w:val="28"/>
          <w:szCs w:val="28"/>
        </w:rPr>
        <w:t>пункта отбора на военную службу по контракту г. Новосибирска Минобороны России</w:t>
      </w:r>
      <w:r w:rsidR="00DA6A58" w:rsidRPr="00A60625">
        <w:rPr>
          <w:rFonts w:ascii="Times New Roman" w:hAnsi="Times New Roman" w:cs="Times New Roman"/>
          <w:sz w:val="28"/>
          <w:szCs w:val="28"/>
        </w:rPr>
        <w:t xml:space="preserve">, </w:t>
      </w:r>
      <w:r w:rsidR="00474282">
        <w:rPr>
          <w:rFonts w:ascii="Times New Roman" w:hAnsi="Times New Roman" w:cs="Times New Roman"/>
          <w:sz w:val="28"/>
          <w:szCs w:val="28"/>
        </w:rPr>
        <w:t>Главного управления Федеральной службы исполнения наказаний по Новосибирской области</w:t>
      </w:r>
      <w:r w:rsidR="000463D7" w:rsidRPr="00A60625">
        <w:rPr>
          <w:rFonts w:ascii="Times New Roman" w:hAnsi="Times New Roman" w:cs="Times New Roman"/>
          <w:sz w:val="28"/>
          <w:szCs w:val="28"/>
        </w:rPr>
        <w:t>.</w:t>
      </w:r>
    </w:p>
    <w:p w:rsidR="00155D39" w:rsidRPr="00A60625" w:rsidRDefault="006D7064" w:rsidP="0015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84F" w:rsidRPr="00A60625">
        <w:rPr>
          <w:rFonts w:ascii="Times New Roman" w:hAnsi="Times New Roman" w:cs="Times New Roman"/>
          <w:sz w:val="28"/>
          <w:szCs w:val="28"/>
        </w:rPr>
        <w:t>Прогноз баланса трудовых ресурсов разрабатывается в целях определения структурных пропорций спроса и предложения на рынке труда, выявления перспективных направлений развития рынка труда с учетом социально-экономического развития Новосибирской области, а также повышения эффективности регулирования процессов формирования  и использования трудовых ресурсов.</w:t>
      </w:r>
      <w:r w:rsidR="00155D39" w:rsidRPr="00A60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39" w:rsidRPr="00A60625" w:rsidRDefault="00155D39" w:rsidP="0015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0625">
        <w:rPr>
          <w:rFonts w:ascii="Times New Roman" w:hAnsi="Times New Roman" w:cs="Times New Roman"/>
          <w:sz w:val="28"/>
          <w:szCs w:val="28"/>
        </w:rPr>
        <w:t xml:space="preserve">          Прогноз баланса трудовых ресурсов разрабатывается </w:t>
      </w:r>
      <w:proofErr w:type="gramStart"/>
      <w:r w:rsidRPr="00A60625">
        <w:rPr>
          <w:rFonts w:ascii="Times New Roman" w:hAnsi="Times New Roman" w:cs="Times New Roman"/>
          <w:sz w:val="28"/>
          <w:szCs w:val="28"/>
        </w:rPr>
        <w:t xml:space="preserve">в целом по Новосибирской области по видам экономической деятельности на уровне разделов Общероссийского </w:t>
      </w:r>
      <w:hyperlink r:id="rId9" w:history="1">
        <w:r w:rsidRPr="002669F9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A6062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на очередной год</w:t>
      </w:r>
      <w:proofErr w:type="gramEnd"/>
      <w:r w:rsidRPr="00A60625">
        <w:rPr>
          <w:rFonts w:ascii="Times New Roman" w:hAnsi="Times New Roman" w:cs="Times New Roman"/>
          <w:sz w:val="28"/>
          <w:szCs w:val="28"/>
        </w:rPr>
        <w:t xml:space="preserve"> и плановый 2-летний период.</w:t>
      </w:r>
    </w:p>
    <w:p w:rsidR="00C36EF4" w:rsidRPr="00A60625" w:rsidRDefault="00C36EF4" w:rsidP="0055694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Прогноз баланса </w:t>
      </w:r>
      <w:r w:rsidR="001105CF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ресурсов представлен в 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виде таблицы, которая включает два взаимосвязанных раздела. В первом разделе баланса </w:t>
      </w:r>
      <w:r w:rsidR="0088288A" w:rsidRPr="00A60625">
        <w:rPr>
          <w:rFonts w:ascii="Times New Roman" w:hAnsi="Times New Roman" w:cs="Times New Roman"/>
          <w:color w:val="000000"/>
          <w:sz w:val="28"/>
          <w:szCs w:val="28"/>
        </w:rPr>
        <w:t>отражае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88288A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="0088288A" w:rsidRPr="00A606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>, во втором – их распределение.</w:t>
      </w:r>
    </w:p>
    <w:p w:rsidR="001761F2" w:rsidRDefault="00C36EF4" w:rsidP="00556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         При разработке прогноза </w:t>
      </w:r>
      <w:r w:rsidR="000463D7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баланса трудовых ресурсов 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принят </w:t>
      </w:r>
      <w:r w:rsidR="000463D7" w:rsidRPr="00A60625">
        <w:rPr>
          <w:rFonts w:ascii="Times New Roman" w:hAnsi="Times New Roman" w:cs="Times New Roman"/>
          <w:color w:val="000000"/>
          <w:sz w:val="28"/>
          <w:szCs w:val="28"/>
        </w:rPr>
        <w:t>базовый вариант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прогноза социально-экономического развития Новосибирской области на 201</w:t>
      </w:r>
      <w:r w:rsidR="00155D39" w:rsidRPr="00A6062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155D39" w:rsidRPr="00A6062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 w:rsidR="00545D67" w:rsidRPr="00A606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5D39" w:rsidRPr="00A606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0463D7" w:rsidRPr="00A606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66C6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одобренны</w:t>
      </w:r>
      <w:r w:rsidR="00D551BE" w:rsidRPr="00A6062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E66C6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Ново</w:t>
      </w:r>
      <w:r w:rsidR="00545D67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сибирской области от </w:t>
      </w:r>
      <w:r w:rsidR="00155D39" w:rsidRPr="00A6062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CE66C6" w:rsidRPr="00A60625">
        <w:rPr>
          <w:rFonts w:ascii="Times New Roman" w:hAnsi="Times New Roman" w:cs="Times New Roman"/>
          <w:color w:val="000000"/>
          <w:sz w:val="28"/>
          <w:szCs w:val="28"/>
        </w:rPr>
        <w:t>.10.201</w:t>
      </w:r>
      <w:r w:rsidR="00155D39" w:rsidRPr="00A606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66C6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№ 39</w:t>
      </w:r>
      <w:r w:rsidR="00545D67" w:rsidRPr="00A606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66C6" w:rsidRPr="00A60625">
        <w:rPr>
          <w:rFonts w:ascii="Times New Roman" w:hAnsi="Times New Roman" w:cs="Times New Roman"/>
          <w:color w:val="000000"/>
          <w:sz w:val="28"/>
          <w:szCs w:val="28"/>
        </w:rPr>
        <w:t>-рп,</w:t>
      </w:r>
      <w:r w:rsidR="000463D7" w:rsidRPr="00A60625">
        <w:rPr>
          <w:rFonts w:ascii="Times New Roman" w:hAnsi="Times New Roman" w:cs="Times New Roman"/>
          <w:color w:val="000000"/>
          <w:sz w:val="28"/>
          <w:szCs w:val="28"/>
        </w:rPr>
        <w:t xml:space="preserve"> а также учтены </w:t>
      </w:r>
      <w:r w:rsidR="001761F2" w:rsidRPr="00A60625">
        <w:rPr>
          <w:rFonts w:ascii="Times New Roman" w:hAnsi="Times New Roman" w:cs="Times New Roman"/>
          <w:sz w:val="28"/>
          <w:szCs w:val="28"/>
        </w:rPr>
        <w:t>происходящи</w:t>
      </w:r>
      <w:r w:rsidR="000463D7" w:rsidRPr="00A60625">
        <w:rPr>
          <w:rFonts w:ascii="Times New Roman" w:hAnsi="Times New Roman" w:cs="Times New Roman"/>
          <w:sz w:val="28"/>
          <w:szCs w:val="28"/>
        </w:rPr>
        <w:t>е</w:t>
      </w:r>
      <w:r w:rsidR="001761F2" w:rsidRPr="00A60625">
        <w:rPr>
          <w:rFonts w:ascii="Times New Roman" w:hAnsi="Times New Roman" w:cs="Times New Roman"/>
          <w:sz w:val="28"/>
          <w:szCs w:val="28"/>
        </w:rPr>
        <w:t xml:space="preserve"> демографически</w:t>
      </w:r>
      <w:r w:rsidR="000463D7" w:rsidRPr="00A60625">
        <w:rPr>
          <w:rFonts w:ascii="Times New Roman" w:hAnsi="Times New Roman" w:cs="Times New Roman"/>
          <w:sz w:val="28"/>
          <w:szCs w:val="28"/>
        </w:rPr>
        <w:t>е</w:t>
      </w:r>
      <w:r w:rsidR="001761F2" w:rsidRPr="00A60625">
        <w:rPr>
          <w:rFonts w:ascii="Times New Roman" w:hAnsi="Times New Roman" w:cs="Times New Roman"/>
          <w:sz w:val="28"/>
          <w:szCs w:val="28"/>
        </w:rPr>
        <w:t xml:space="preserve"> и миграционны</w:t>
      </w:r>
      <w:r w:rsidR="000463D7" w:rsidRPr="00A60625">
        <w:rPr>
          <w:rFonts w:ascii="Times New Roman" w:hAnsi="Times New Roman" w:cs="Times New Roman"/>
          <w:sz w:val="28"/>
          <w:szCs w:val="28"/>
        </w:rPr>
        <w:t>е</w:t>
      </w:r>
      <w:r w:rsidR="001761F2" w:rsidRPr="00A6062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463D7" w:rsidRPr="00A60625">
        <w:rPr>
          <w:rFonts w:ascii="Times New Roman" w:hAnsi="Times New Roman" w:cs="Times New Roman"/>
          <w:sz w:val="28"/>
          <w:szCs w:val="28"/>
        </w:rPr>
        <w:t>ы</w:t>
      </w:r>
      <w:r w:rsidR="001761F2" w:rsidRPr="00A60625">
        <w:rPr>
          <w:rFonts w:ascii="Times New Roman" w:hAnsi="Times New Roman" w:cs="Times New Roman"/>
          <w:sz w:val="28"/>
          <w:szCs w:val="28"/>
        </w:rPr>
        <w:t>.</w:t>
      </w:r>
    </w:p>
    <w:p w:rsidR="0015284F" w:rsidRPr="00B24307" w:rsidRDefault="0015284F" w:rsidP="00556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Изменение демографической ситуации является одним из основных факторов, влияющих на региональный рынок труда.</w:t>
      </w:r>
    </w:p>
    <w:p w:rsidR="00B92B5C" w:rsidRPr="00E63F1E" w:rsidRDefault="006C56B3" w:rsidP="00BB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1E">
        <w:rPr>
          <w:rFonts w:ascii="Times New Roman" w:hAnsi="Times New Roman" w:cs="Times New Roman"/>
          <w:sz w:val="28"/>
          <w:szCs w:val="28"/>
        </w:rPr>
        <w:lastRenderedPageBreak/>
        <w:t>Среднегодовая ч</w:t>
      </w:r>
      <w:r w:rsidR="00B54F02" w:rsidRPr="00E63F1E">
        <w:rPr>
          <w:rFonts w:ascii="Times New Roman" w:hAnsi="Times New Roman" w:cs="Times New Roman"/>
          <w:sz w:val="28"/>
          <w:szCs w:val="28"/>
        </w:rPr>
        <w:t xml:space="preserve">исленность населения Новосибирской области по данным </w:t>
      </w:r>
      <w:proofErr w:type="spellStart"/>
      <w:r w:rsidR="00B54F02" w:rsidRPr="00E63F1E">
        <w:rPr>
          <w:rFonts w:ascii="Times New Roman" w:hAnsi="Times New Roman" w:cs="Times New Roman"/>
          <w:sz w:val="28"/>
          <w:szCs w:val="28"/>
        </w:rPr>
        <w:t>Новосибирскстат</w:t>
      </w:r>
      <w:r w:rsidR="00A73063" w:rsidRPr="00E63F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54F02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E869A9" w:rsidRPr="00E63F1E">
        <w:rPr>
          <w:rFonts w:ascii="Times New Roman" w:hAnsi="Times New Roman" w:cs="Times New Roman"/>
          <w:sz w:val="28"/>
          <w:szCs w:val="28"/>
        </w:rPr>
        <w:t>за 201</w:t>
      </w:r>
      <w:r w:rsidR="00155D39" w:rsidRPr="00E63F1E">
        <w:rPr>
          <w:rFonts w:ascii="Times New Roman" w:hAnsi="Times New Roman" w:cs="Times New Roman"/>
          <w:sz w:val="28"/>
          <w:szCs w:val="28"/>
        </w:rPr>
        <w:t>7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год составляет 27</w:t>
      </w:r>
      <w:r w:rsidR="00E72F7B" w:rsidRPr="00E63F1E">
        <w:rPr>
          <w:rFonts w:ascii="Times New Roman" w:hAnsi="Times New Roman" w:cs="Times New Roman"/>
          <w:sz w:val="28"/>
          <w:szCs w:val="28"/>
        </w:rPr>
        <w:t>84</w:t>
      </w:r>
      <w:r w:rsidR="00E869A9" w:rsidRPr="00E63F1E">
        <w:rPr>
          <w:rFonts w:ascii="Times New Roman" w:hAnsi="Times New Roman" w:cs="Times New Roman"/>
          <w:sz w:val="28"/>
          <w:szCs w:val="28"/>
        </w:rPr>
        <w:t>,</w:t>
      </w:r>
      <w:r w:rsidR="00E72F7B" w:rsidRPr="00E63F1E">
        <w:rPr>
          <w:rFonts w:ascii="Times New Roman" w:hAnsi="Times New Roman" w:cs="Times New Roman"/>
          <w:sz w:val="28"/>
          <w:szCs w:val="28"/>
        </w:rPr>
        <w:t>2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FD3E5F" w:rsidRPr="00E63F1E">
        <w:rPr>
          <w:rFonts w:ascii="Times New Roman" w:hAnsi="Times New Roman" w:cs="Times New Roman"/>
          <w:sz w:val="28"/>
          <w:szCs w:val="28"/>
        </w:rPr>
        <w:t>тыс.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BD7280" w:rsidRPr="00E63F1E">
        <w:rPr>
          <w:rFonts w:ascii="Times New Roman" w:hAnsi="Times New Roman" w:cs="Times New Roman"/>
          <w:sz w:val="28"/>
          <w:szCs w:val="28"/>
        </w:rPr>
        <w:t>1</w:t>
      </w:r>
      <w:r w:rsidR="00E72F7B" w:rsidRPr="00E63F1E">
        <w:rPr>
          <w:rFonts w:ascii="Times New Roman" w:hAnsi="Times New Roman" w:cs="Times New Roman"/>
          <w:sz w:val="28"/>
          <w:szCs w:val="28"/>
        </w:rPr>
        <w:t>3</w:t>
      </w:r>
      <w:r w:rsidR="00E869A9" w:rsidRPr="00E63F1E">
        <w:rPr>
          <w:rFonts w:ascii="Times New Roman" w:hAnsi="Times New Roman" w:cs="Times New Roman"/>
          <w:sz w:val="28"/>
          <w:szCs w:val="28"/>
        </w:rPr>
        <w:t>,</w:t>
      </w:r>
      <w:r w:rsidR="00E72F7B" w:rsidRPr="00E63F1E">
        <w:rPr>
          <w:rFonts w:ascii="Times New Roman" w:hAnsi="Times New Roman" w:cs="Times New Roman"/>
          <w:sz w:val="28"/>
          <w:szCs w:val="28"/>
        </w:rPr>
        <w:t>3</w:t>
      </w:r>
      <w:r w:rsidR="00A1291F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FD3E5F" w:rsidRPr="00E63F1E">
        <w:rPr>
          <w:rFonts w:ascii="Times New Roman" w:hAnsi="Times New Roman" w:cs="Times New Roman"/>
          <w:sz w:val="28"/>
          <w:szCs w:val="28"/>
        </w:rPr>
        <w:t>тыс.</w:t>
      </w:r>
      <w:r w:rsidR="006D1C75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E869A9" w:rsidRPr="00E63F1E">
        <w:rPr>
          <w:rFonts w:ascii="Times New Roman" w:hAnsi="Times New Roman" w:cs="Times New Roman"/>
          <w:sz w:val="28"/>
          <w:szCs w:val="28"/>
        </w:rPr>
        <w:t>человек или на 0,</w:t>
      </w:r>
      <w:r w:rsidR="00E72F7B" w:rsidRPr="00E63F1E">
        <w:rPr>
          <w:rFonts w:ascii="Times New Roman" w:hAnsi="Times New Roman" w:cs="Times New Roman"/>
          <w:sz w:val="28"/>
          <w:szCs w:val="28"/>
        </w:rPr>
        <w:t>5</w:t>
      </w:r>
      <w:r w:rsidR="00E869A9" w:rsidRPr="00E63F1E">
        <w:rPr>
          <w:rFonts w:ascii="Times New Roman" w:hAnsi="Times New Roman" w:cs="Times New Roman"/>
          <w:sz w:val="28"/>
          <w:szCs w:val="28"/>
        </w:rPr>
        <w:t>% больше, чем за 201</w:t>
      </w:r>
      <w:r w:rsidR="00E72F7B" w:rsidRPr="00E63F1E">
        <w:rPr>
          <w:rFonts w:ascii="Times New Roman" w:hAnsi="Times New Roman" w:cs="Times New Roman"/>
          <w:sz w:val="28"/>
          <w:szCs w:val="28"/>
        </w:rPr>
        <w:t>6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год. Из них городское население – 21</w:t>
      </w:r>
      <w:r w:rsidR="00E72F7B" w:rsidRPr="00E63F1E">
        <w:rPr>
          <w:rFonts w:ascii="Times New Roman" w:hAnsi="Times New Roman" w:cs="Times New Roman"/>
          <w:sz w:val="28"/>
          <w:szCs w:val="28"/>
        </w:rPr>
        <w:t>99</w:t>
      </w:r>
      <w:r w:rsidR="00E869A9" w:rsidRPr="00E63F1E">
        <w:rPr>
          <w:rFonts w:ascii="Times New Roman" w:hAnsi="Times New Roman" w:cs="Times New Roman"/>
          <w:sz w:val="28"/>
          <w:szCs w:val="28"/>
        </w:rPr>
        <w:t>,</w:t>
      </w:r>
      <w:r w:rsidR="00E72F7B" w:rsidRPr="00E63F1E">
        <w:rPr>
          <w:rFonts w:ascii="Times New Roman" w:hAnsi="Times New Roman" w:cs="Times New Roman"/>
          <w:sz w:val="28"/>
          <w:szCs w:val="28"/>
        </w:rPr>
        <w:t>1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FD3E5F" w:rsidRPr="00E63F1E">
        <w:rPr>
          <w:rFonts w:ascii="Times New Roman" w:hAnsi="Times New Roman" w:cs="Times New Roman"/>
          <w:sz w:val="28"/>
          <w:szCs w:val="28"/>
        </w:rPr>
        <w:t>тыс.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E72F7B" w:rsidRPr="00E63F1E">
        <w:rPr>
          <w:rFonts w:ascii="Times New Roman" w:hAnsi="Times New Roman" w:cs="Times New Roman"/>
          <w:sz w:val="28"/>
          <w:szCs w:val="28"/>
        </w:rPr>
        <w:t>79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% от </w:t>
      </w:r>
      <w:r w:rsidR="00B92B5C" w:rsidRPr="00E63F1E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E869A9" w:rsidRPr="00E63F1E">
        <w:rPr>
          <w:rFonts w:ascii="Times New Roman" w:hAnsi="Times New Roman" w:cs="Times New Roman"/>
          <w:sz w:val="28"/>
          <w:szCs w:val="28"/>
        </w:rPr>
        <w:t>численности нас</w:t>
      </w:r>
      <w:r w:rsidR="00BD7280" w:rsidRPr="00E63F1E">
        <w:rPr>
          <w:rFonts w:ascii="Times New Roman" w:hAnsi="Times New Roman" w:cs="Times New Roman"/>
          <w:sz w:val="28"/>
          <w:szCs w:val="28"/>
        </w:rPr>
        <w:t>еления, сельское население – 5</w:t>
      </w:r>
      <w:r w:rsidR="00545D67" w:rsidRPr="00E63F1E">
        <w:rPr>
          <w:rFonts w:ascii="Times New Roman" w:hAnsi="Times New Roman" w:cs="Times New Roman"/>
          <w:sz w:val="28"/>
          <w:szCs w:val="28"/>
        </w:rPr>
        <w:t>8</w:t>
      </w:r>
      <w:r w:rsidR="00E72F7B" w:rsidRPr="00E63F1E">
        <w:rPr>
          <w:rFonts w:ascii="Times New Roman" w:hAnsi="Times New Roman" w:cs="Times New Roman"/>
          <w:sz w:val="28"/>
          <w:szCs w:val="28"/>
        </w:rPr>
        <w:t>5</w:t>
      </w:r>
      <w:r w:rsidR="00E869A9" w:rsidRPr="00E63F1E">
        <w:rPr>
          <w:rFonts w:ascii="Times New Roman" w:hAnsi="Times New Roman" w:cs="Times New Roman"/>
          <w:sz w:val="28"/>
          <w:szCs w:val="28"/>
        </w:rPr>
        <w:t>,</w:t>
      </w:r>
      <w:r w:rsidR="00E72F7B" w:rsidRPr="00E63F1E">
        <w:rPr>
          <w:rFonts w:ascii="Times New Roman" w:hAnsi="Times New Roman" w:cs="Times New Roman"/>
          <w:sz w:val="28"/>
          <w:szCs w:val="28"/>
        </w:rPr>
        <w:t>1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FD3E5F" w:rsidRPr="00E63F1E">
        <w:rPr>
          <w:rFonts w:ascii="Times New Roman" w:hAnsi="Times New Roman" w:cs="Times New Roman"/>
          <w:sz w:val="28"/>
          <w:szCs w:val="28"/>
        </w:rPr>
        <w:t>тыс.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 человек (2</w:t>
      </w:r>
      <w:r w:rsidR="00BD7280" w:rsidRPr="00E63F1E">
        <w:rPr>
          <w:rFonts w:ascii="Times New Roman" w:hAnsi="Times New Roman" w:cs="Times New Roman"/>
          <w:sz w:val="28"/>
          <w:szCs w:val="28"/>
        </w:rPr>
        <w:t>1</w:t>
      </w:r>
      <w:r w:rsidR="00E869A9" w:rsidRPr="00E63F1E">
        <w:rPr>
          <w:rFonts w:ascii="Times New Roman" w:hAnsi="Times New Roman" w:cs="Times New Roman"/>
          <w:sz w:val="28"/>
          <w:szCs w:val="28"/>
        </w:rPr>
        <w:t xml:space="preserve">%). </w:t>
      </w:r>
      <w:r w:rsidR="0086348F" w:rsidRPr="00E6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30" w:rsidRPr="00E63F1E" w:rsidRDefault="001761F2" w:rsidP="00BB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1E">
        <w:rPr>
          <w:rFonts w:ascii="Times New Roman" w:hAnsi="Times New Roman" w:cs="Times New Roman"/>
          <w:sz w:val="28"/>
          <w:szCs w:val="28"/>
        </w:rPr>
        <w:t xml:space="preserve">Увеличение численности населения обусловлено </w:t>
      </w:r>
      <w:r w:rsidR="00E72F7B" w:rsidRPr="00E63F1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63F1E">
        <w:rPr>
          <w:rFonts w:ascii="Times New Roman" w:hAnsi="Times New Roman" w:cs="Times New Roman"/>
          <w:sz w:val="28"/>
          <w:szCs w:val="28"/>
        </w:rPr>
        <w:t>миграционным притоком в регион.</w:t>
      </w:r>
      <w:r w:rsidR="00C03BA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4B4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В перспективе до 20</w:t>
      </w:r>
      <w:r w:rsidR="00545D6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72F7B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4B4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планируется </w:t>
      </w:r>
      <w:r w:rsidR="00B2430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естественная убыль населения </w:t>
      </w:r>
      <w:r w:rsidR="00E63F1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CB34E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за счет низкого уровня рождаемости</w:t>
      </w:r>
      <w:r w:rsidR="00E63F1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r w:rsidR="00CB34E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2430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</w:t>
      </w:r>
      <w:r w:rsidR="00545D6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сохранение </w:t>
      </w:r>
      <w:r w:rsidR="00644B4E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миграционного прироста населения</w:t>
      </w:r>
      <w:r w:rsidR="00545D6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E72F7B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>По оценке, в 2018 году</w:t>
      </w:r>
      <w:r w:rsidR="00545D67" w:rsidRPr="00E63F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темп</w:t>
      </w:r>
      <w:r w:rsidR="00A413B6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B24307" w:rsidRPr="00E63F1E">
        <w:rPr>
          <w:rFonts w:ascii="Times New Roman" w:hAnsi="Times New Roman" w:cs="Times New Roman"/>
          <w:sz w:val="28"/>
          <w:szCs w:val="28"/>
        </w:rPr>
        <w:t>миграционного</w:t>
      </w:r>
      <w:r w:rsidR="00A413B6" w:rsidRPr="00E63F1E">
        <w:rPr>
          <w:rFonts w:ascii="Times New Roman" w:hAnsi="Times New Roman" w:cs="Times New Roman"/>
          <w:sz w:val="28"/>
          <w:szCs w:val="28"/>
        </w:rPr>
        <w:t xml:space="preserve"> при</w:t>
      </w:r>
      <w:r w:rsidR="00886CBF" w:rsidRPr="00E63F1E">
        <w:rPr>
          <w:rFonts w:ascii="Times New Roman" w:hAnsi="Times New Roman" w:cs="Times New Roman"/>
          <w:sz w:val="28"/>
          <w:szCs w:val="28"/>
        </w:rPr>
        <w:t>роста</w:t>
      </w:r>
      <w:r w:rsidR="006C683A" w:rsidRPr="00E63F1E">
        <w:rPr>
          <w:rFonts w:ascii="Times New Roman" w:hAnsi="Times New Roman" w:cs="Times New Roman"/>
          <w:sz w:val="28"/>
          <w:szCs w:val="28"/>
        </w:rPr>
        <w:t xml:space="preserve"> и,</w:t>
      </w:r>
      <w:r w:rsidR="00A413B6" w:rsidRPr="00E63F1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C683A" w:rsidRPr="00E63F1E">
        <w:rPr>
          <w:rFonts w:ascii="Times New Roman" w:hAnsi="Times New Roman" w:cs="Times New Roman"/>
          <w:sz w:val="28"/>
          <w:szCs w:val="28"/>
        </w:rPr>
        <w:t>,</w:t>
      </w:r>
      <w:r w:rsidR="00C20992" w:rsidRPr="00E63F1E">
        <w:rPr>
          <w:rFonts w:ascii="Times New Roman" w:hAnsi="Times New Roman" w:cs="Times New Roman"/>
          <w:sz w:val="28"/>
          <w:szCs w:val="28"/>
        </w:rPr>
        <w:t xml:space="preserve"> темп</w:t>
      </w:r>
      <w:r w:rsidR="00A413B6" w:rsidRPr="00E63F1E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886CBF" w:rsidRPr="00E63F1E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 w:rsidR="00545D67" w:rsidRPr="00E63F1E">
        <w:rPr>
          <w:rFonts w:ascii="Times New Roman" w:hAnsi="Times New Roman" w:cs="Times New Roman"/>
          <w:sz w:val="28"/>
          <w:szCs w:val="28"/>
        </w:rPr>
        <w:t>уменьш</w:t>
      </w:r>
      <w:r w:rsidR="00C20992" w:rsidRPr="00E63F1E">
        <w:rPr>
          <w:rFonts w:ascii="Times New Roman" w:hAnsi="Times New Roman" w:cs="Times New Roman"/>
          <w:sz w:val="28"/>
          <w:szCs w:val="28"/>
        </w:rPr>
        <w:t>ится</w:t>
      </w:r>
      <w:r w:rsidR="00EC33DB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545D67" w:rsidRPr="00E63F1E">
        <w:rPr>
          <w:rFonts w:ascii="Times New Roman" w:hAnsi="Times New Roman" w:cs="Times New Roman"/>
          <w:sz w:val="28"/>
          <w:szCs w:val="28"/>
        </w:rPr>
        <w:t>до 0,</w:t>
      </w:r>
      <w:r w:rsidR="00C20992" w:rsidRPr="00E63F1E">
        <w:rPr>
          <w:rFonts w:ascii="Times New Roman" w:hAnsi="Times New Roman" w:cs="Times New Roman"/>
          <w:sz w:val="28"/>
          <w:szCs w:val="28"/>
        </w:rPr>
        <w:t>3</w:t>
      </w:r>
      <w:r w:rsidR="00EC33DB" w:rsidRPr="00E63F1E">
        <w:rPr>
          <w:rFonts w:ascii="Times New Roman" w:hAnsi="Times New Roman" w:cs="Times New Roman"/>
          <w:sz w:val="28"/>
          <w:szCs w:val="28"/>
        </w:rPr>
        <w:t>%</w:t>
      </w:r>
      <w:r w:rsidR="00F515B5" w:rsidRPr="00E63F1E">
        <w:rPr>
          <w:rFonts w:ascii="Times New Roman" w:hAnsi="Times New Roman" w:cs="Times New Roman"/>
          <w:sz w:val="28"/>
          <w:szCs w:val="28"/>
        </w:rPr>
        <w:t xml:space="preserve">, </w:t>
      </w:r>
      <w:r w:rsidR="00DE7D63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C20992" w:rsidRPr="00E63F1E">
        <w:rPr>
          <w:rFonts w:ascii="Times New Roman" w:eastAsia="MS Mincho" w:hAnsi="Times New Roman"/>
          <w:sz w:val="28"/>
          <w:szCs w:val="28"/>
          <w:lang w:eastAsia="ru-RU"/>
        </w:rPr>
        <w:t>в 2020-2021 годах численность населения будет ежегодно расти на 0,4% и 0,5% соответственно</w:t>
      </w:r>
      <w:r w:rsidR="00886CBF" w:rsidRPr="00E63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D90" w:rsidRDefault="00BB6D90" w:rsidP="00BB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1E">
        <w:rPr>
          <w:rFonts w:ascii="Times New Roman" w:hAnsi="Times New Roman" w:cs="Times New Roman"/>
          <w:sz w:val="28"/>
          <w:szCs w:val="28"/>
        </w:rPr>
        <w:t>При этом численность населения в трудоспособном возрасте будет снижаться, а численность населения старше и моложе трудоспособного возраста расти</w:t>
      </w:r>
      <w:r w:rsidR="00552127" w:rsidRPr="00E63F1E">
        <w:rPr>
          <w:rFonts w:ascii="Times New Roman" w:hAnsi="Times New Roman" w:cs="Times New Roman"/>
          <w:sz w:val="28"/>
          <w:szCs w:val="28"/>
        </w:rPr>
        <w:t xml:space="preserve"> (диаграмма 1)</w:t>
      </w:r>
      <w:r w:rsidRPr="00E63F1E">
        <w:rPr>
          <w:rFonts w:ascii="Times New Roman" w:hAnsi="Times New Roman" w:cs="Times New Roman"/>
          <w:sz w:val="28"/>
          <w:szCs w:val="28"/>
        </w:rPr>
        <w:t>.</w:t>
      </w:r>
    </w:p>
    <w:p w:rsidR="00BB6D90" w:rsidRDefault="00552127" w:rsidP="00552127">
      <w:pPr>
        <w:spacing w:after="0" w:line="240" w:lineRule="auto"/>
        <w:ind w:firstLine="709"/>
        <w:jc w:val="right"/>
        <w:rPr>
          <w:rFonts w:cs="Times New Roman"/>
          <w:szCs w:val="24"/>
        </w:rPr>
      </w:pPr>
      <w:r w:rsidRPr="00D81F44">
        <w:rPr>
          <w:rFonts w:cs="Times New Roman"/>
          <w:szCs w:val="24"/>
        </w:rPr>
        <w:t>Диаграмма 1</w:t>
      </w:r>
    </w:p>
    <w:p w:rsidR="00D81F44" w:rsidRPr="00D81F44" w:rsidRDefault="00D81F44" w:rsidP="00552127">
      <w:pPr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2861EA" w:rsidRPr="001105CF" w:rsidRDefault="00FE2707" w:rsidP="00C03BA7">
      <w:pPr>
        <w:tabs>
          <w:tab w:val="left" w:pos="5529"/>
          <w:tab w:val="left" w:pos="6096"/>
        </w:tabs>
        <w:spacing w:after="0" w:line="240" w:lineRule="auto"/>
        <w:ind w:left="-851" w:right="-285"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40FC3C" wp14:editId="380E040F">
            <wp:extent cx="3398807" cy="23808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207BF" w:rsidRPr="001105CF">
        <w:rPr>
          <w:noProof/>
          <w:lang w:eastAsia="ru-RU"/>
        </w:rPr>
        <w:t xml:space="preserve"> </w:t>
      </w:r>
      <w:r w:rsidR="00C03BA7">
        <w:rPr>
          <w:noProof/>
          <w:lang w:eastAsia="ru-RU"/>
        </w:rPr>
        <w:drawing>
          <wp:inline distT="0" distB="0" distL="0" distR="0" wp14:anchorId="4595A3AD" wp14:editId="18B505A2">
            <wp:extent cx="2587924" cy="2329132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207BF" w:rsidRPr="001105CF">
        <w:rPr>
          <w:noProof/>
          <w:lang w:eastAsia="ru-RU"/>
        </w:rPr>
        <w:t xml:space="preserve"> </w:t>
      </w:r>
    </w:p>
    <w:p w:rsidR="00344973" w:rsidRPr="00344973" w:rsidRDefault="00344973" w:rsidP="00344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3F1E">
        <w:rPr>
          <w:rFonts w:ascii="Times New Roman" w:hAnsi="Times New Roman" w:cs="Times New Roman"/>
          <w:sz w:val="28"/>
          <w:szCs w:val="24"/>
        </w:rPr>
        <w:t xml:space="preserve">Среднегодовая численность населения в трудоспособном возрасте, снижающаяся с 2005 года, за 2017 год сократилась на 14,1 тыс. человек, или на 0,9% (за 2016 год сократилась на 16,8 тыс. человек, или </w:t>
      </w:r>
      <w:proofErr w:type="gramStart"/>
      <w:r w:rsidRPr="00E63F1E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E63F1E">
        <w:rPr>
          <w:rFonts w:ascii="Times New Roman" w:hAnsi="Times New Roman" w:cs="Times New Roman"/>
          <w:sz w:val="28"/>
          <w:szCs w:val="24"/>
        </w:rPr>
        <w:t xml:space="preserve"> 1%). Доля населения в трудоспособном возрасте снизилась до 56,7% (в 2016 году она составляла 57,5%).</w:t>
      </w:r>
    </w:p>
    <w:p w:rsidR="00320B58" w:rsidRDefault="007B418A" w:rsidP="0032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1E">
        <w:rPr>
          <w:rFonts w:ascii="Times New Roman" w:hAnsi="Times New Roman" w:cs="Times New Roman"/>
          <w:sz w:val="28"/>
          <w:szCs w:val="28"/>
        </w:rPr>
        <w:t xml:space="preserve">В соответствии с прогнозными показателями </w:t>
      </w:r>
      <w:proofErr w:type="spellStart"/>
      <w:r w:rsidRPr="00E63F1E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="00320B58" w:rsidRPr="00E63F1E">
        <w:rPr>
          <w:rFonts w:ascii="Times New Roman" w:hAnsi="Times New Roman" w:cs="Times New Roman"/>
          <w:sz w:val="28"/>
          <w:szCs w:val="28"/>
        </w:rPr>
        <w:t xml:space="preserve">предполагается дальнейшее сокращение численности населения в трудоспособном возрасте, однако темпы сокращения этой категории </w:t>
      </w:r>
      <w:r w:rsidR="00FE4A4D" w:rsidRPr="00E63F1E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20B58" w:rsidRPr="00E63F1E">
        <w:rPr>
          <w:rFonts w:ascii="Times New Roman" w:hAnsi="Times New Roman" w:cs="Times New Roman"/>
          <w:sz w:val="28"/>
          <w:szCs w:val="28"/>
        </w:rPr>
        <w:t xml:space="preserve">будут снижаться </w:t>
      </w:r>
      <w:r w:rsidRPr="00E63F1E">
        <w:rPr>
          <w:rFonts w:ascii="Times New Roman" w:hAnsi="Times New Roman" w:cs="Times New Roman"/>
          <w:sz w:val="28"/>
          <w:szCs w:val="28"/>
        </w:rPr>
        <w:t xml:space="preserve">с </w:t>
      </w:r>
      <w:r w:rsidR="00DD5832" w:rsidRPr="00E63F1E">
        <w:rPr>
          <w:rFonts w:ascii="Times New Roman" w:hAnsi="Times New Roman" w:cs="Times New Roman"/>
          <w:sz w:val="28"/>
          <w:szCs w:val="28"/>
        </w:rPr>
        <w:t xml:space="preserve">каждым годом </w:t>
      </w:r>
      <w:r w:rsidRPr="00E63F1E">
        <w:rPr>
          <w:rFonts w:ascii="Times New Roman" w:hAnsi="Times New Roman" w:cs="Times New Roman"/>
          <w:sz w:val="28"/>
          <w:szCs w:val="28"/>
        </w:rPr>
        <w:t>от 0,8% в 2018 году до 0,2% в 2021 году.</w:t>
      </w:r>
      <w:r w:rsidR="00320B58" w:rsidRPr="00E63F1E">
        <w:rPr>
          <w:rFonts w:ascii="Times New Roman" w:hAnsi="Times New Roman" w:cs="Times New Roman"/>
          <w:sz w:val="28"/>
          <w:szCs w:val="28"/>
        </w:rPr>
        <w:t xml:space="preserve"> </w:t>
      </w:r>
      <w:r w:rsidRPr="00E63F1E">
        <w:rPr>
          <w:rFonts w:ascii="Times New Roman" w:hAnsi="Times New Roman" w:cs="Times New Roman"/>
          <w:sz w:val="28"/>
          <w:szCs w:val="28"/>
        </w:rPr>
        <w:t xml:space="preserve">С 2018 по 2021 годы </w:t>
      </w:r>
      <w:r w:rsidR="00E63F1E" w:rsidRPr="00E63F1E">
        <w:rPr>
          <w:rFonts w:ascii="Times New Roman" w:hAnsi="Times New Roman" w:cs="Times New Roman"/>
          <w:sz w:val="28"/>
          <w:szCs w:val="28"/>
        </w:rPr>
        <w:t>численность</w:t>
      </w:r>
      <w:r w:rsidR="00F03BF6" w:rsidRPr="00E63F1E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E63F1E">
        <w:rPr>
          <w:rFonts w:ascii="Times New Roman" w:hAnsi="Times New Roman" w:cs="Times New Roman"/>
          <w:sz w:val="28"/>
          <w:szCs w:val="28"/>
        </w:rPr>
        <w:t xml:space="preserve">в трудоспособном возрасте </w:t>
      </w:r>
      <w:r w:rsidR="00E63F1E" w:rsidRPr="00E63F1E">
        <w:rPr>
          <w:rFonts w:ascii="Times New Roman" w:hAnsi="Times New Roman" w:cs="Times New Roman"/>
          <w:sz w:val="28"/>
          <w:szCs w:val="28"/>
        </w:rPr>
        <w:t>сократится на</w:t>
      </w:r>
      <w:r w:rsidRPr="00E63F1E">
        <w:rPr>
          <w:rFonts w:ascii="Times New Roman" w:hAnsi="Times New Roman" w:cs="Times New Roman"/>
          <w:sz w:val="28"/>
          <w:szCs w:val="28"/>
        </w:rPr>
        <w:t xml:space="preserve"> 12,1 тыс. человек</w:t>
      </w:r>
      <w:r w:rsidR="00F03BF6" w:rsidRPr="00E63F1E">
        <w:rPr>
          <w:rFonts w:ascii="Times New Roman" w:hAnsi="Times New Roman" w:cs="Times New Roman"/>
          <w:sz w:val="28"/>
          <w:szCs w:val="28"/>
        </w:rPr>
        <w:t>.</w:t>
      </w:r>
    </w:p>
    <w:p w:rsidR="0002112E" w:rsidRPr="001105CF" w:rsidRDefault="00814255" w:rsidP="0002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1E">
        <w:rPr>
          <w:rFonts w:ascii="Times New Roman" w:hAnsi="Times New Roman"/>
          <w:sz w:val="28"/>
          <w:szCs w:val="28"/>
        </w:rPr>
        <w:t>Ч</w:t>
      </w:r>
      <w:r w:rsidR="00BB6D90" w:rsidRPr="00E63F1E">
        <w:rPr>
          <w:rFonts w:ascii="Times New Roman" w:hAnsi="Times New Roman"/>
          <w:sz w:val="28"/>
          <w:szCs w:val="28"/>
        </w:rPr>
        <w:t>исленность трудовых ресурсов определяется исходя из численности трудоспособного населения в трудоспособном возрасте, работающих лиц за пределами трудоспособного возраста и численности иностранных трудовых мигрантов</w:t>
      </w:r>
      <w:r w:rsidR="0028286A" w:rsidRPr="00E63F1E">
        <w:rPr>
          <w:rFonts w:ascii="Times New Roman" w:hAnsi="Times New Roman"/>
          <w:sz w:val="28"/>
          <w:szCs w:val="28"/>
        </w:rPr>
        <w:t>.</w:t>
      </w:r>
      <w:r w:rsidR="00BB6D90" w:rsidRPr="00E63F1E">
        <w:rPr>
          <w:rFonts w:ascii="Times New Roman" w:hAnsi="Times New Roman"/>
          <w:sz w:val="28"/>
          <w:szCs w:val="28"/>
        </w:rPr>
        <w:t xml:space="preserve"> </w:t>
      </w:r>
      <w:r w:rsidR="0002112E" w:rsidRPr="00E63F1E">
        <w:rPr>
          <w:rFonts w:ascii="Times New Roman" w:hAnsi="Times New Roman"/>
          <w:sz w:val="28"/>
          <w:szCs w:val="28"/>
        </w:rPr>
        <w:t xml:space="preserve">Доля данных категорий трудовых ресурсов в 2017 </w:t>
      </w:r>
      <w:r w:rsidR="0002112E" w:rsidRPr="0002112E">
        <w:rPr>
          <w:rFonts w:ascii="Times New Roman" w:hAnsi="Times New Roman"/>
          <w:sz w:val="28"/>
          <w:szCs w:val="28"/>
        </w:rPr>
        <w:t xml:space="preserve">году составила: </w:t>
      </w:r>
      <w:r w:rsidR="0002112E" w:rsidRPr="000211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трудоспособное население в трудоспособном возрасте - 89,1 %,  д</w:t>
      </w:r>
      <w:r w:rsidR="0002112E" w:rsidRPr="0002112E">
        <w:rPr>
          <w:rFonts w:ascii="Times New Roman" w:hAnsi="Times New Roman"/>
          <w:sz w:val="28"/>
          <w:szCs w:val="28"/>
        </w:rPr>
        <w:t xml:space="preserve">оля работающих </w:t>
      </w:r>
      <w:r w:rsidR="0002112E" w:rsidRPr="0002112E">
        <w:rPr>
          <w:rFonts w:ascii="Times New Roman" w:hAnsi="Times New Roman"/>
          <w:sz w:val="28"/>
          <w:szCs w:val="28"/>
        </w:rPr>
        <w:lastRenderedPageBreak/>
        <w:t xml:space="preserve">лиц за пределами трудоспособного возраста – 7,9% </w:t>
      </w:r>
      <w:r w:rsidR="0002112E" w:rsidRPr="0002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2016 году соответственно 88,5% и </w:t>
      </w:r>
      <w:r w:rsidR="0002112E" w:rsidRPr="0002112E">
        <w:rPr>
          <w:rFonts w:ascii="Times New Roman" w:hAnsi="Times New Roman"/>
          <w:sz w:val="28"/>
          <w:szCs w:val="28"/>
        </w:rPr>
        <w:t>7,3%</w:t>
      </w:r>
      <w:r w:rsidR="0002112E" w:rsidRPr="0002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  <w:r w:rsidR="0002112E" w:rsidRPr="0002112E">
        <w:rPr>
          <w:rFonts w:ascii="Times New Roman" w:hAnsi="Times New Roman"/>
          <w:sz w:val="28"/>
          <w:szCs w:val="28"/>
        </w:rPr>
        <w:t>доля иностранных трудовых мигрантов – 3% (в 2016 год</w:t>
      </w:r>
      <w:r w:rsidR="0002112E" w:rsidRPr="00E63F1E">
        <w:rPr>
          <w:rFonts w:ascii="Times New Roman" w:hAnsi="Times New Roman"/>
          <w:sz w:val="28"/>
          <w:szCs w:val="28"/>
        </w:rPr>
        <w:t>у - 4,2%) (диаграмма 2).</w:t>
      </w:r>
    </w:p>
    <w:p w:rsidR="009862FE" w:rsidRDefault="009862FE" w:rsidP="0002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2FE" w:rsidRPr="00D81F44" w:rsidRDefault="009862FE" w:rsidP="002A5F2B">
      <w:pPr>
        <w:tabs>
          <w:tab w:val="left" w:pos="426"/>
        </w:tabs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F2B" w:rsidRPr="00D81F44">
        <w:rPr>
          <w:rFonts w:cs="Times New Roman"/>
          <w:szCs w:val="28"/>
        </w:rPr>
        <w:t>Диаграмма 2</w:t>
      </w:r>
    </w:p>
    <w:p w:rsidR="00CA6C7F" w:rsidRDefault="001C70C4" w:rsidP="00CA6C7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FEE919" wp14:editId="68414B2E">
            <wp:simplePos x="0" y="0"/>
            <wp:positionH relativeFrom="column">
              <wp:posOffset>106045</wp:posOffset>
            </wp:positionH>
            <wp:positionV relativeFrom="paragraph">
              <wp:posOffset>168910</wp:posOffset>
            </wp:positionV>
            <wp:extent cx="3697605" cy="2661920"/>
            <wp:effectExtent l="0" t="0" r="0" b="508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2FE">
        <w:rPr>
          <w:rFonts w:ascii="Times New Roman" w:hAnsi="Times New Roman" w:cs="Times New Roman"/>
          <w:sz w:val="28"/>
          <w:szCs w:val="28"/>
        </w:rPr>
        <w:t xml:space="preserve">       </w:t>
      </w:r>
      <w:r w:rsidR="00164FA4">
        <w:rPr>
          <w:rFonts w:ascii="Times New Roman" w:hAnsi="Times New Roman" w:cs="Times New Roman"/>
          <w:sz w:val="28"/>
          <w:szCs w:val="28"/>
        </w:rPr>
        <w:t xml:space="preserve">   </w:t>
      </w:r>
      <w:r w:rsidR="00CA6C7F">
        <w:rPr>
          <w:noProof/>
          <w:lang w:eastAsia="ru-RU"/>
        </w:rPr>
        <w:drawing>
          <wp:inline distT="0" distB="0" distL="0" distR="0" wp14:anchorId="666DB1AE" wp14:editId="38DFB75B">
            <wp:extent cx="2372811" cy="2204978"/>
            <wp:effectExtent l="0" t="0" r="889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1AFC" w:rsidRDefault="00121AFC" w:rsidP="00164F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AFC" w:rsidRDefault="00121AFC" w:rsidP="00164F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AFC" w:rsidRDefault="00121AFC" w:rsidP="00164F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A4" w:rsidRPr="00FE5940" w:rsidRDefault="002A5F2B" w:rsidP="00164F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FA4" w:rsidRPr="00FE5940">
        <w:rPr>
          <w:rFonts w:ascii="Times New Roman" w:hAnsi="Times New Roman" w:cs="Times New Roman"/>
          <w:sz w:val="28"/>
          <w:szCs w:val="28"/>
        </w:rPr>
        <w:t xml:space="preserve">Численность неработающих инвалидов и </w:t>
      </w:r>
      <w:r w:rsidR="002A1154">
        <w:rPr>
          <w:rFonts w:ascii="Times New Roman" w:hAnsi="Times New Roman" w:cs="Times New Roman"/>
          <w:sz w:val="28"/>
          <w:szCs w:val="28"/>
        </w:rPr>
        <w:t>неработающих граждан</w:t>
      </w:r>
      <w:r w:rsidR="00164FA4" w:rsidRPr="00FE5940">
        <w:rPr>
          <w:rFonts w:ascii="Times New Roman" w:hAnsi="Times New Roman" w:cs="Times New Roman"/>
          <w:sz w:val="28"/>
          <w:szCs w:val="28"/>
        </w:rPr>
        <w:t>, получающих пенсию на льготных условиях, в 201</w:t>
      </w:r>
      <w:r w:rsidRPr="00FE5940">
        <w:rPr>
          <w:rFonts w:ascii="Times New Roman" w:hAnsi="Times New Roman" w:cs="Times New Roman"/>
          <w:sz w:val="28"/>
          <w:szCs w:val="28"/>
        </w:rPr>
        <w:t>7</w:t>
      </w:r>
      <w:r w:rsidR="00164FA4" w:rsidRPr="00FE5940">
        <w:rPr>
          <w:rFonts w:ascii="Times New Roman" w:hAnsi="Times New Roman" w:cs="Times New Roman"/>
          <w:sz w:val="28"/>
          <w:szCs w:val="28"/>
        </w:rPr>
        <w:t xml:space="preserve"> году составила 3</w:t>
      </w:r>
      <w:r w:rsidRPr="00FE5940">
        <w:rPr>
          <w:rFonts w:ascii="Times New Roman" w:hAnsi="Times New Roman" w:cs="Times New Roman"/>
          <w:sz w:val="28"/>
          <w:szCs w:val="28"/>
        </w:rPr>
        <w:t>6</w:t>
      </w:r>
      <w:r w:rsidR="00164FA4" w:rsidRPr="00FE5940">
        <w:rPr>
          <w:rFonts w:ascii="Times New Roman" w:hAnsi="Times New Roman" w:cs="Times New Roman"/>
          <w:sz w:val="28"/>
          <w:szCs w:val="28"/>
        </w:rPr>
        <w:t>,</w:t>
      </w:r>
      <w:r w:rsidRPr="00FE5940">
        <w:rPr>
          <w:rFonts w:ascii="Times New Roman" w:hAnsi="Times New Roman" w:cs="Times New Roman"/>
          <w:sz w:val="28"/>
          <w:szCs w:val="28"/>
        </w:rPr>
        <w:t>2</w:t>
      </w:r>
      <w:r w:rsidR="00164FA4" w:rsidRPr="00FE5940">
        <w:rPr>
          <w:rFonts w:ascii="Times New Roman" w:hAnsi="Times New Roman" w:cs="Times New Roman"/>
          <w:sz w:val="28"/>
          <w:szCs w:val="28"/>
        </w:rPr>
        <w:t xml:space="preserve"> тыс. человек, что на   </w:t>
      </w:r>
      <w:r w:rsidRPr="00FE5940">
        <w:rPr>
          <w:rFonts w:ascii="Times New Roman" w:hAnsi="Times New Roman" w:cs="Times New Roman"/>
          <w:sz w:val="28"/>
          <w:szCs w:val="28"/>
        </w:rPr>
        <w:t>1</w:t>
      </w:r>
      <w:r w:rsidR="00DE6634" w:rsidRPr="00FE5940">
        <w:rPr>
          <w:rFonts w:ascii="Times New Roman" w:hAnsi="Times New Roman" w:cs="Times New Roman"/>
          <w:sz w:val="28"/>
          <w:szCs w:val="28"/>
        </w:rPr>
        <w:t>,</w:t>
      </w:r>
      <w:r w:rsidRPr="00FE5940">
        <w:rPr>
          <w:rFonts w:ascii="Times New Roman" w:hAnsi="Times New Roman" w:cs="Times New Roman"/>
          <w:sz w:val="28"/>
          <w:szCs w:val="28"/>
        </w:rPr>
        <w:t>9</w:t>
      </w:r>
      <w:r w:rsidR="00DE6634" w:rsidRPr="00FE5940">
        <w:rPr>
          <w:rFonts w:ascii="Times New Roman" w:hAnsi="Times New Roman" w:cs="Times New Roman"/>
          <w:sz w:val="28"/>
          <w:szCs w:val="28"/>
        </w:rPr>
        <w:t xml:space="preserve"> тыс.</w:t>
      </w:r>
      <w:r w:rsidR="00164FA4" w:rsidRPr="00FE594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E6634" w:rsidRPr="00FE5940">
        <w:rPr>
          <w:rFonts w:ascii="Times New Roman" w:hAnsi="Times New Roman" w:cs="Times New Roman"/>
          <w:sz w:val="28"/>
          <w:szCs w:val="28"/>
        </w:rPr>
        <w:t>больше</w:t>
      </w:r>
      <w:r w:rsidR="00164FA4" w:rsidRPr="00FE5940">
        <w:rPr>
          <w:rFonts w:ascii="Times New Roman" w:hAnsi="Times New Roman" w:cs="Times New Roman"/>
          <w:sz w:val="28"/>
          <w:szCs w:val="28"/>
        </w:rPr>
        <w:t>, чем в 201</w:t>
      </w:r>
      <w:r w:rsidRPr="00FE5940">
        <w:rPr>
          <w:rFonts w:ascii="Times New Roman" w:hAnsi="Times New Roman" w:cs="Times New Roman"/>
          <w:sz w:val="28"/>
          <w:szCs w:val="28"/>
        </w:rPr>
        <w:t>6</w:t>
      </w:r>
      <w:r w:rsidR="00164FA4" w:rsidRPr="00FE5940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DE6634" w:rsidRPr="00FE5940">
        <w:rPr>
          <w:rFonts w:ascii="Times New Roman" w:hAnsi="Times New Roman" w:cs="Times New Roman"/>
          <w:sz w:val="28"/>
          <w:szCs w:val="28"/>
        </w:rPr>
        <w:t xml:space="preserve">По </w:t>
      </w:r>
      <w:r w:rsidR="00353A64" w:rsidRPr="00FE5940">
        <w:rPr>
          <w:rFonts w:ascii="Times New Roman" w:hAnsi="Times New Roman" w:cs="Times New Roman"/>
          <w:sz w:val="28"/>
          <w:szCs w:val="28"/>
        </w:rPr>
        <w:t>прогнозным показателям</w:t>
      </w:r>
      <w:r w:rsidR="00DE6634" w:rsidRPr="00FE5940">
        <w:rPr>
          <w:rFonts w:ascii="Times New Roman" w:hAnsi="Times New Roman" w:cs="Times New Roman"/>
          <w:sz w:val="28"/>
          <w:szCs w:val="28"/>
        </w:rPr>
        <w:t xml:space="preserve"> отделения Пенсионного фонда РФ по </w:t>
      </w:r>
      <w:r w:rsidRPr="00FE5940">
        <w:rPr>
          <w:rFonts w:ascii="Times New Roman" w:hAnsi="Times New Roman" w:cs="Times New Roman"/>
          <w:sz w:val="28"/>
          <w:szCs w:val="28"/>
        </w:rPr>
        <w:t>НСО</w:t>
      </w:r>
      <w:r w:rsidR="00DE6634" w:rsidRPr="00FE5940">
        <w:rPr>
          <w:rFonts w:ascii="Times New Roman" w:hAnsi="Times New Roman" w:cs="Times New Roman"/>
          <w:sz w:val="28"/>
          <w:szCs w:val="28"/>
        </w:rPr>
        <w:t xml:space="preserve"> численность данной категории населения с 201</w:t>
      </w:r>
      <w:r w:rsidR="0077281E" w:rsidRPr="00FE5940">
        <w:rPr>
          <w:rFonts w:ascii="Times New Roman" w:hAnsi="Times New Roman" w:cs="Times New Roman"/>
          <w:sz w:val="28"/>
          <w:szCs w:val="28"/>
        </w:rPr>
        <w:t>8</w:t>
      </w:r>
      <w:r w:rsidR="00DE6634" w:rsidRPr="00FE5940">
        <w:rPr>
          <w:rFonts w:ascii="Times New Roman" w:hAnsi="Times New Roman" w:cs="Times New Roman"/>
          <w:sz w:val="28"/>
          <w:szCs w:val="28"/>
        </w:rPr>
        <w:t xml:space="preserve"> по 202</w:t>
      </w:r>
      <w:r w:rsidR="0077281E" w:rsidRPr="00FE5940">
        <w:rPr>
          <w:rFonts w:ascii="Times New Roman" w:hAnsi="Times New Roman" w:cs="Times New Roman"/>
          <w:sz w:val="28"/>
          <w:szCs w:val="28"/>
        </w:rPr>
        <w:t>1</w:t>
      </w:r>
      <w:r w:rsidR="00DE6634" w:rsidRPr="00FE5940">
        <w:rPr>
          <w:rFonts w:ascii="Times New Roman" w:hAnsi="Times New Roman" w:cs="Times New Roman"/>
          <w:sz w:val="28"/>
          <w:szCs w:val="28"/>
        </w:rPr>
        <w:t xml:space="preserve"> годы будет снижаться</w:t>
      </w:r>
      <w:r w:rsidR="00353A64" w:rsidRPr="00FE5940">
        <w:rPr>
          <w:rFonts w:ascii="Times New Roman" w:hAnsi="Times New Roman" w:cs="Times New Roman"/>
          <w:sz w:val="28"/>
          <w:szCs w:val="28"/>
        </w:rPr>
        <w:t xml:space="preserve"> на 0,</w:t>
      </w:r>
      <w:r w:rsidR="0077281E" w:rsidRPr="00FE5940">
        <w:rPr>
          <w:rFonts w:ascii="Times New Roman" w:hAnsi="Times New Roman" w:cs="Times New Roman"/>
          <w:sz w:val="28"/>
          <w:szCs w:val="28"/>
        </w:rPr>
        <w:t>5</w:t>
      </w:r>
      <w:r w:rsidR="00353A64" w:rsidRPr="00FE5940">
        <w:rPr>
          <w:rFonts w:ascii="Times New Roman" w:hAnsi="Times New Roman" w:cs="Times New Roman"/>
          <w:sz w:val="28"/>
          <w:szCs w:val="28"/>
        </w:rPr>
        <w:t xml:space="preserve">% ежегодно. </w:t>
      </w:r>
    </w:p>
    <w:p w:rsidR="00353A64" w:rsidRPr="0077281E" w:rsidRDefault="00164FA4" w:rsidP="00AA61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40">
        <w:rPr>
          <w:rFonts w:ascii="Times New Roman" w:hAnsi="Times New Roman" w:cs="Times New Roman"/>
          <w:sz w:val="28"/>
          <w:szCs w:val="28"/>
        </w:rPr>
        <w:t xml:space="preserve">      </w:t>
      </w:r>
      <w:r w:rsidR="009862FE" w:rsidRPr="00FE5940">
        <w:rPr>
          <w:rFonts w:ascii="Times New Roman" w:hAnsi="Times New Roman" w:cs="Times New Roman"/>
          <w:sz w:val="28"/>
          <w:szCs w:val="28"/>
        </w:rPr>
        <w:t xml:space="preserve">   </w:t>
      </w:r>
      <w:r w:rsidR="00634AAA" w:rsidRPr="00FE5940">
        <w:rPr>
          <w:rFonts w:ascii="Times New Roman" w:hAnsi="Times New Roman" w:cs="Times New Roman"/>
          <w:sz w:val="28"/>
          <w:szCs w:val="28"/>
        </w:rPr>
        <w:t>Ч</w:t>
      </w:r>
      <w:r w:rsidR="00EE1985" w:rsidRPr="00FE5940">
        <w:rPr>
          <w:rFonts w:ascii="Times New Roman" w:hAnsi="Times New Roman" w:cs="Times New Roman"/>
          <w:sz w:val="28"/>
          <w:szCs w:val="28"/>
        </w:rPr>
        <w:t>исленност</w:t>
      </w:r>
      <w:r w:rsidR="00CF38BA" w:rsidRPr="00FE5940">
        <w:rPr>
          <w:rFonts w:ascii="Times New Roman" w:hAnsi="Times New Roman" w:cs="Times New Roman"/>
          <w:sz w:val="28"/>
          <w:szCs w:val="28"/>
        </w:rPr>
        <w:t>ь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</w:t>
      </w:r>
      <w:r w:rsidR="00552127" w:rsidRPr="00FE5940">
        <w:rPr>
          <w:rFonts w:ascii="Times New Roman" w:hAnsi="Times New Roman" w:cs="Times New Roman"/>
          <w:sz w:val="28"/>
          <w:szCs w:val="28"/>
        </w:rPr>
        <w:t xml:space="preserve">трудоспособного населения в трудоспособном возрасте </w:t>
      </w:r>
      <w:r w:rsidR="00CF38BA" w:rsidRPr="00FE5940">
        <w:rPr>
          <w:rFonts w:ascii="Times New Roman" w:hAnsi="Times New Roman" w:cs="Times New Roman"/>
          <w:sz w:val="28"/>
          <w:szCs w:val="28"/>
        </w:rPr>
        <w:t xml:space="preserve">снизится с 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1</w:t>
      </w:r>
      <w:r w:rsidR="00D17D0A" w:rsidRPr="00FE5940">
        <w:rPr>
          <w:rFonts w:ascii="Times New Roman" w:hAnsi="Times New Roman" w:cs="Times New Roman"/>
          <w:sz w:val="28"/>
          <w:szCs w:val="28"/>
        </w:rPr>
        <w:t>5</w:t>
      </w:r>
      <w:r w:rsidR="008C28E1" w:rsidRPr="00FE5940">
        <w:rPr>
          <w:rFonts w:ascii="Times New Roman" w:hAnsi="Times New Roman" w:cs="Times New Roman"/>
          <w:sz w:val="28"/>
          <w:szCs w:val="28"/>
        </w:rPr>
        <w:t>29</w:t>
      </w:r>
      <w:r w:rsidR="00222120" w:rsidRPr="00FE5940">
        <w:rPr>
          <w:rFonts w:ascii="Times New Roman" w:hAnsi="Times New Roman" w:cs="Times New Roman"/>
          <w:sz w:val="28"/>
          <w:szCs w:val="28"/>
        </w:rPr>
        <w:t>,</w:t>
      </w:r>
      <w:r w:rsidR="008C28E1" w:rsidRPr="00FE5940">
        <w:rPr>
          <w:rFonts w:ascii="Times New Roman" w:hAnsi="Times New Roman" w:cs="Times New Roman"/>
          <w:sz w:val="28"/>
          <w:szCs w:val="28"/>
        </w:rPr>
        <w:t>5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тыс</w:t>
      </w:r>
      <w:r w:rsidR="00EE1985" w:rsidRPr="00FE5940">
        <w:rPr>
          <w:rFonts w:ascii="Times New Roman" w:hAnsi="Times New Roman" w:cs="Times New Roman"/>
          <w:sz w:val="28"/>
          <w:szCs w:val="28"/>
        </w:rPr>
        <w:t>.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человек в 201</w:t>
      </w:r>
      <w:r w:rsidR="002A5F2B" w:rsidRPr="00FE5940">
        <w:rPr>
          <w:rFonts w:ascii="Times New Roman" w:hAnsi="Times New Roman" w:cs="Times New Roman"/>
          <w:sz w:val="28"/>
          <w:szCs w:val="28"/>
        </w:rPr>
        <w:t>8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году до 15</w:t>
      </w:r>
      <w:r w:rsidR="008C28E1" w:rsidRPr="00FE5940">
        <w:rPr>
          <w:rFonts w:ascii="Times New Roman" w:hAnsi="Times New Roman" w:cs="Times New Roman"/>
          <w:sz w:val="28"/>
          <w:szCs w:val="28"/>
        </w:rPr>
        <w:t>17</w:t>
      </w:r>
      <w:r w:rsidR="00222120" w:rsidRPr="00FE5940">
        <w:rPr>
          <w:rFonts w:ascii="Times New Roman" w:hAnsi="Times New Roman" w:cs="Times New Roman"/>
          <w:sz w:val="28"/>
          <w:szCs w:val="28"/>
        </w:rPr>
        <w:t>,</w:t>
      </w:r>
      <w:r w:rsidR="008C28E1" w:rsidRPr="00FE5940">
        <w:rPr>
          <w:rFonts w:ascii="Times New Roman" w:hAnsi="Times New Roman" w:cs="Times New Roman"/>
          <w:sz w:val="28"/>
          <w:szCs w:val="28"/>
        </w:rPr>
        <w:t>3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тыс</w:t>
      </w:r>
      <w:r w:rsidR="00EE1985" w:rsidRPr="00FE5940">
        <w:rPr>
          <w:rFonts w:ascii="Times New Roman" w:hAnsi="Times New Roman" w:cs="Times New Roman"/>
          <w:sz w:val="28"/>
          <w:szCs w:val="28"/>
        </w:rPr>
        <w:t>.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человек в </w:t>
      </w:r>
      <w:r w:rsidR="009862FE" w:rsidRPr="00FE5940">
        <w:rPr>
          <w:rFonts w:ascii="Times New Roman" w:hAnsi="Times New Roman" w:cs="Times New Roman"/>
          <w:sz w:val="28"/>
          <w:szCs w:val="28"/>
        </w:rPr>
        <w:t xml:space="preserve">  </w:t>
      </w:r>
      <w:r w:rsidR="00222120" w:rsidRPr="00FE5940">
        <w:rPr>
          <w:rFonts w:ascii="Times New Roman" w:hAnsi="Times New Roman" w:cs="Times New Roman"/>
          <w:sz w:val="28"/>
          <w:szCs w:val="28"/>
        </w:rPr>
        <w:t>20</w:t>
      </w:r>
      <w:r w:rsidR="00353A64" w:rsidRPr="00FE5940">
        <w:rPr>
          <w:rFonts w:ascii="Times New Roman" w:hAnsi="Times New Roman" w:cs="Times New Roman"/>
          <w:sz w:val="28"/>
          <w:szCs w:val="28"/>
        </w:rPr>
        <w:t>2</w:t>
      </w:r>
      <w:r w:rsidR="002A5F2B" w:rsidRPr="00FE5940">
        <w:rPr>
          <w:rFonts w:ascii="Times New Roman" w:hAnsi="Times New Roman" w:cs="Times New Roman"/>
          <w:sz w:val="28"/>
          <w:szCs w:val="28"/>
        </w:rPr>
        <w:t>1</w:t>
      </w:r>
      <w:r w:rsidR="00222120" w:rsidRPr="00FE5940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0B4D" w:rsidRPr="00FE5940">
        <w:rPr>
          <w:rFonts w:ascii="Times New Roman" w:hAnsi="Times New Roman" w:cs="Times New Roman"/>
          <w:sz w:val="28"/>
          <w:szCs w:val="28"/>
        </w:rPr>
        <w:t xml:space="preserve"> (диаграмма 3)</w:t>
      </w:r>
      <w:r w:rsidR="00222120" w:rsidRPr="00FE5940">
        <w:rPr>
          <w:rFonts w:ascii="Times New Roman" w:hAnsi="Times New Roman" w:cs="Times New Roman"/>
          <w:sz w:val="28"/>
          <w:szCs w:val="28"/>
        </w:rPr>
        <w:t>.</w:t>
      </w:r>
      <w:r w:rsidR="00AC3688" w:rsidRPr="00772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8E1" w:rsidRPr="0077281E" w:rsidRDefault="008C28E1" w:rsidP="00AA61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150" w:rsidRDefault="008C28E1" w:rsidP="008C28E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F7A26A" wp14:editId="041E8E69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3A64" w:rsidRPr="001105CF" w:rsidRDefault="00353A64" w:rsidP="00353A6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525" w:rsidRDefault="009862FE" w:rsidP="00317E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317E80" w:rsidRPr="00FE5940" w:rsidRDefault="00F338E2" w:rsidP="00317E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649" w:rsidRPr="00FE5940">
        <w:rPr>
          <w:rFonts w:ascii="Times New Roman" w:hAnsi="Times New Roman" w:cs="Times New Roman"/>
          <w:sz w:val="28"/>
          <w:szCs w:val="28"/>
        </w:rPr>
        <w:t xml:space="preserve">Сокращение численности трудовых ресурсов  будет сдерживаться ростом численности работающих </w:t>
      </w:r>
      <w:r w:rsidR="002A1154">
        <w:rPr>
          <w:rFonts w:ascii="Times New Roman" w:hAnsi="Times New Roman" w:cs="Times New Roman"/>
          <w:sz w:val="28"/>
          <w:szCs w:val="28"/>
        </w:rPr>
        <w:t>граждан</w:t>
      </w:r>
      <w:r w:rsidR="00D85649" w:rsidRPr="00FE5940">
        <w:rPr>
          <w:rFonts w:ascii="Times New Roman" w:hAnsi="Times New Roman" w:cs="Times New Roman"/>
          <w:sz w:val="28"/>
          <w:szCs w:val="28"/>
        </w:rPr>
        <w:t xml:space="preserve"> старше пенсионного возраста</w:t>
      </w:r>
      <w:r w:rsidR="00887B43" w:rsidRPr="00FE5940">
        <w:rPr>
          <w:rFonts w:ascii="Times New Roman" w:hAnsi="Times New Roman" w:cs="Times New Roman"/>
          <w:sz w:val="28"/>
          <w:szCs w:val="28"/>
        </w:rPr>
        <w:t xml:space="preserve"> и</w:t>
      </w:r>
      <w:r w:rsidR="00D85649" w:rsidRPr="00FE5940">
        <w:rPr>
          <w:rFonts w:ascii="Times New Roman" w:hAnsi="Times New Roman" w:cs="Times New Roman"/>
          <w:sz w:val="28"/>
          <w:szCs w:val="28"/>
        </w:rPr>
        <w:t xml:space="preserve"> </w:t>
      </w:r>
      <w:r w:rsidR="00887B43" w:rsidRPr="00FE5940">
        <w:rPr>
          <w:rFonts w:ascii="Times New Roman" w:hAnsi="Times New Roman" w:cs="Times New Roman"/>
          <w:sz w:val="28"/>
          <w:szCs w:val="28"/>
        </w:rPr>
        <w:t>трудовой миграцией населения, в том числе населения в трудоспособном возрасте.</w:t>
      </w:r>
    </w:p>
    <w:p w:rsidR="00343C5E" w:rsidRPr="00E378EB" w:rsidRDefault="00164FA4" w:rsidP="00317E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59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5649" w:rsidRPr="00FE5940">
        <w:rPr>
          <w:rFonts w:ascii="Times New Roman" w:hAnsi="Times New Roman" w:cs="Times New Roman"/>
          <w:sz w:val="28"/>
          <w:szCs w:val="28"/>
        </w:rPr>
        <w:t xml:space="preserve">Удельный вес численности работающих граждан пенсионного возраста в общей численности трудовых ресурсов возрастет с </w:t>
      </w:r>
      <w:r w:rsidR="00D85649" w:rsidRPr="00D81F44">
        <w:rPr>
          <w:rFonts w:ascii="Times New Roman" w:hAnsi="Times New Roman" w:cs="Times New Roman"/>
          <w:sz w:val="28"/>
          <w:szCs w:val="28"/>
        </w:rPr>
        <w:t>7,</w:t>
      </w:r>
      <w:r w:rsidR="00FE5940" w:rsidRPr="00D81F44">
        <w:rPr>
          <w:rFonts w:ascii="Times New Roman" w:hAnsi="Times New Roman" w:cs="Times New Roman"/>
          <w:sz w:val="28"/>
          <w:szCs w:val="28"/>
        </w:rPr>
        <w:t>9</w:t>
      </w:r>
      <w:r w:rsidR="00D85649" w:rsidRPr="00D81F44">
        <w:rPr>
          <w:rFonts w:ascii="Times New Roman" w:hAnsi="Times New Roman" w:cs="Times New Roman"/>
          <w:sz w:val="28"/>
          <w:szCs w:val="28"/>
        </w:rPr>
        <w:t>% в 201</w:t>
      </w:r>
      <w:r w:rsidR="00B47127" w:rsidRPr="00D81F44">
        <w:rPr>
          <w:rFonts w:ascii="Times New Roman" w:hAnsi="Times New Roman" w:cs="Times New Roman"/>
          <w:sz w:val="28"/>
          <w:szCs w:val="28"/>
        </w:rPr>
        <w:t>8</w:t>
      </w:r>
      <w:r w:rsidR="00D85649" w:rsidRPr="00D81F44">
        <w:rPr>
          <w:rFonts w:ascii="Times New Roman" w:hAnsi="Times New Roman" w:cs="Times New Roman"/>
          <w:sz w:val="28"/>
          <w:szCs w:val="28"/>
        </w:rPr>
        <w:t xml:space="preserve">  году до </w:t>
      </w:r>
      <w:r w:rsidR="00FE5940" w:rsidRPr="00D81F44">
        <w:rPr>
          <w:rFonts w:ascii="Times New Roman" w:hAnsi="Times New Roman" w:cs="Times New Roman"/>
          <w:sz w:val="28"/>
          <w:szCs w:val="28"/>
        </w:rPr>
        <w:t>8</w:t>
      </w:r>
      <w:r w:rsidR="00D85649" w:rsidRPr="00D81F44">
        <w:rPr>
          <w:rFonts w:ascii="Times New Roman" w:hAnsi="Times New Roman" w:cs="Times New Roman"/>
          <w:sz w:val="28"/>
          <w:szCs w:val="28"/>
        </w:rPr>
        <w:t>,</w:t>
      </w:r>
      <w:r w:rsidR="00FE5940" w:rsidRPr="00D81F44">
        <w:rPr>
          <w:rFonts w:ascii="Times New Roman" w:hAnsi="Times New Roman" w:cs="Times New Roman"/>
          <w:sz w:val="28"/>
          <w:szCs w:val="28"/>
        </w:rPr>
        <w:t>1</w:t>
      </w:r>
      <w:r w:rsidR="00D85649" w:rsidRPr="00FE5940">
        <w:rPr>
          <w:rFonts w:ascii="Times New Roman" w:hAnsi="Times New Roman" w:cs="Times New Roman"/>
          <w:sz w:val="28"/>
          <w:szCs w:val="28"/>
        </w:rPr>
        <w:t>% в 20</w:t>
      </w:r>
      <w:r w:rsidR="005D5529" w:rsidRPr="00FE5940">
        <w:rPr>
          <w:rFonts w:ascii="Times New Roman" w:hAnsi="Times New Roman" w:cs="Times New Roman"/>
          <w:sz w:val="28"/>
          <w:szCs w:val="28"/>
        </w:rPr>
        <w:t>2</w:t>
      </w:r>
      <w:r w:rsidR="00B47127" w:rsidRPr="00FE5940">
        <w:rPr>
          <w:rFonts w:ascii="Times New Roman" w:hAnsi="Times New Roman" w:cs="Times New Roman"/>
          <w:sz w:val="28"/>
          <w:szCs w:val="28"/>
        </w:rPr>
        <w:t>1</w:t>
      </w:r>
      <w:r w:rsidR="00D85649" w:rsidRPr="00FE5940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85649" w:rsidRPr="00E37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49" w:rsidRPr="0077281E" w:rsidRDefault="00D85649" w:rsidP="00D85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940">
        <w:rPr>
          <w:rFonts w:ascii="Times New Roman" w:hAnsi="Times New Roman" w:cs="Times New Roman"/>
          <w:sz w:val="28"/>
          <w:szCs w:val="28"/>
        </w:rPr>
        <w:t xml:space="preserve">За </w:t>
      </w:r>
      <w:r w:rsidR="00A91F71" w:rsidRPr="00FE5940">
        <w:rPr>
          <w:rFonts w:ascii="Times New Roman" w:hAnsi="Times New Roman" w:cs="Times New Roman"/>
          <w:sz w:val="28"/>
          <w:szCs w:val="28"/>
        </w:rPr>
        <w:t>201</w:t>
      </w:r>
      <w:r w:rsidR="00B47127" w:rsidRPr="00FE5940">
        <w:rPr>
          <w:rFonts w:ascii="Times New Roman" w:hAnsi="Times New Roman" w:cs="Times New Roman"/>
          <w:sz w:val="28"/>
          <w:szCs w:val="28"/>
        </w:rPr>
        <w:t>7</w:t>
      </w:r>
      <w:r w:rsidR="00A91F71" w:rsidRPr="00FE5940">
        <w:rPr>
          <w:rFonts w:ascii="Times New Roman" w:hAnsi="Times New Roman" w:cs="Times New Roman"/>
          <w:sz w:val="28"/>
          <w:szCs w:val="28"/>
        </w:rPr>
        <w:t xml:space="preserve"> год численность работающих подростков </w:t>
      </w:r>
      <w:r w:rsidR="00B47127" w:rsidRPr="00FE5940">
        <w:rPr>
          <w:rFonts w:ascii="Times New Roman" w:hAnsi="Times New Roman" w:cs="Times New Roman"/>
          <w:sz w:val="28"/>
          <w:szCs w:val="28"/>
        </w:rPr>
        <w:t>увеличилась</w:t>
      </w:r>
      <w:r w:rsidR="00A91F71" w:rsidRPr="00FE5940">
        <w:rPr>
          <w:rFonts w:ascii="Times New Roman" w:hAnsi="Times New Roman" w:cs="Times New Roman"/>
          <w:sz w:val="28"/>
          <w:szCs w:val="28"/>
        </w:rPr>
        <w:t xml:space="preserve"> на </w:t>
      </w:r>
      <w:r w:rsidR="00B47127" w:rsidRPr="00FE5940">
        <w:rPr>
          <w:rFonts w:ascii="Times New Roman" w:hAnsi="Times New Roman" w:cs="Times New Roman"/>
          <w:sz w:val="28"/>
          <w:szCs w:val="28"/>
        </w:rPr>
        <w:t>66</w:t>
      </w:r>
      <w:r w:rsidR="00A91F71" w:rsidRPr="00FE594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47127" w:rsidRPr="00FE5940">
        <w:rPr>
          <w:rFonts w:ascii="Times New Roman" w:hAnsi="Times New Roman" w:cs="Times New Roman"/>
          <w:sz w:val="28"/>
          <w:szCs w:val="28"/>
        </w:rPr>
        <w:t>на 19,4%</w:t>
      </w:r>
      <w:r w:rsidR="00A91F71" w:rsidRPr="00FE5940">
        <w:rPr>
          <w:rFonts w:ascii="Times New Roman" w:hAnsi="Times New Roman" w:cs="Times New Roman"/>
          <w:sz w:val="28"/>
          <w:szCs w:val="28"/>
        </w:rPr>
        <w:t xml:space="preserve">) и составила </w:t>
      </w:r>
      <w:r w:rsidR="00B47127" w:rsidRPr="00FE5940">
        <w:rPr>
          <w:rFonts w:ascii="Times New Roman" w:hAnsi="Times New Roman" w:cs="Times New Roman"/>
          <w:sz w:val="28"/>
          <w:szCs w:val="28"/>
        </w:rPr>
        <w:t>4</w:t>
      </w:r>
      <w:r w:rsidR="00A91F71" w:rsidRPr="00FE5940">
        <w:rPr>
          <w:rFonts w:ascii="Times New Roman" w:hAnsi="Times New Roman" w:cs="Times New Roman"/>
          <w:sz w:val="28"/>
          <w:szCs w:val="28"/>
        </w:rPr>
        <w:t>0</w:t>
      </w:r>
      <w:r w:rsidR="00B47127" w:rsidRPr="00FE5940">
        <w:rPr>
          <w:rFonts w:ascii="Times New Roman" w:hAnsi="Times New Roman" w:cs="Times New Roman"/>
          <w:sz w:val="28"/>
          <w:szCs w:val="28"/>
        </w:rPr>
        <w:t>6</w:t>
      </w:r>
      <w:r w:rsidR="00A91F71" w:rsidRPr="00FE594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3698B" w:rsidRPr="00FE5940">
        <w:rPr>
          <w:rFonts w:ascii="Times New Roman" w:hAnsi="Times New Roman" w:cs="Times New Roman"/>
          <w:sz w:val="28"/>
          <w:szCs w:val="28"/>
        </w:rPr>
        <w:t xml:space="preserve"> </w:t>
      </w:r>
      <w:r w:rsidR="0077281E" w:rsidRPr="00FE5940">
        <w:rPr>
          <w:rFonts w:ascii="Times New Roman" w:hAnsi="Times New Roman" w:cs="Times New Roman"/>
          <w:sz w:val="28"/>
          <w:szCs w:val="28"/>
        </w:rPr>
        <w:t>В</w:t>
      </w:r>
      <w:r w:rsidRPr="00FE5940">
        <w:rPr>
          <w:rFonts w:ascii="Times New Roman" w:hAnsi="Times New Roman" w:cs="Times New Roman"/>
          <w:sz w:val="28"/>
          <w:szCs w:val="28"/>
        </w:rPr>
        <w:t xml:space="preserve"> 201</w:t>
      </w:r>
      <w:r w:rsidR="00B47127" w:rsidRPr="00FE5940">
        <w:rPr>
          <w:rFonts w:ascii="Times New Roman" w:hAnsi="Times New Roman" w:cs="Times New Roman"/>
          <w:sz w:val="28"/>
          <w:szCs w:val="28"/>
        </w:rPr>
        <w:t>8</w:t>
      </w:r>
      <w:r w:rsidRPr="00FE5940">
        <w:rPr>
          <w:rFonts w:ascii="Times New Roman" w:hAnsi="Times New Roman" w:cs="Times New Roman"/>
          <w:sz w:val="28"/>
          <w:szCs w:val="28"/>
        </w:rPr>
        <w:t xml:space="preserve"> году и прогнозном периоде 201</w:t>
      </w:r>
      <w:r w:rsidR="00B47127" w:rsidRPr="00FE5940">
        <w:rPr>
          <w:rFonts w:ascii="Times New Roman" w:hAnsi="Times New Roman" w:cs="Times New Roman"/>
          <w:sz w:val="28"/>
          <w:szCs w:val="28"/>
        </w:rPr>
        <w:t>9</w:t>
      </w:r>
      <w:r w:rsidRPr="00FE5940">
        <w:rPr>
          <w:rFonts w:ascii="Times New Roman" w:hAnsi="Times New Roman" w:cs="Times New Roman"/>
          <w:sz w:val="28"/>
          <w:szCs w:val="28"/>
        </w:rPr>
        <w:t xml:space="preserve"> - 20</w:t>
      </w:r>
      <w:r w:rsidR="00D3698B" w:rsidRPr="00FE5940">
        <w:rPr>
          <w:rFonts w:ascii="Times New Roman" w:hAnsi="Times New Roman" w:cs="Times New Roman"/>
          <w:sz w:val="28"/>
          <w:szCs w:val="28"/>
        </w:rPr>
        <w:t>2</w:t>
      </w:r>
      <w:r w:rsidR="00B47127" w:rsidRPr="00FE5940">
        <w:rPr>
          <w:rFonts w:ascii="Times New Roman" w:hAnsi="Times New Roman" w:cs="Times New Roman"/>
          <w:sz w:val="28"/>
          <w:szCs w:val="28"/>
        </w:rPr>
        <w:t>1</w:t>
      </w:r>
      <w:r w:rsidRPr="00FE5940">
        <w:rPr>
          <w:rFonts w:ascii="Times New Roman" w:hAnsi="Times New Roman" w:cs="Times New Roman"/>
          <w:sz w:val="28"/>
          <w:szCs w:val="28"/>
        </w:rPr>
        <w:t xml:space="preserve"> годов ожидается стабильное сохранение числа </w:t>
      </w:r>
      <w:r w:rsidR="0077281E" w:rsidRPr="00FE5940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Pr="00FE5940">
        <w:rPr>
          <w:rFonts w:ascii="Times New Roman" w:hAnsi="Times New Roman" w:cs="Times New Roman"/>
          <w:sz w:val="28"/>
          <w:szCs w:val="28"/>
        </w:rPr>
        <w:t xml:space="preserve">подростков на уровне </w:t>
      </w:r>
      <w:r w:rsidR="00D3698B" w:rsidRPr="00FE5940">
        <w:rPr>
          <w:rFonts w:ascii="Times New Roman" w:hAnsi="Times New Roman" w:cs="Times New Roman"/>
          <w:sz w:val="28"/>
          <w:szCs w:val="28"/>
        </w:rPr>
        <w:t>201</w:t>
      </w:r>
      <w:r w:rsidR="00B47127" w:rsidRPr="00FE5940">
        <w:rPr>
          <w:rFonts w:ascii="Times New Roman" w:hAnsi="Times New Roman" w:cs="Times New Roman"/>
          <w:sz w:val="28"/>
          <w:szCs w:val="28"/>
        </w:rPr>
        <w:t>7</w:t>
      </w:r>
      <w:r w:rsidR="00D3698B" w:rsidRPr="00FE59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5940">
        <w:rPr>
          <w:rFonts w:ascii="Times New Roman" w:hAnsi="Times New Roman" w:cs="Times New Roman"/>
          <w:sz w:val="28"/>
          <w:szCs w:val="28"/>
        </w:rPr>
        <w:t xml:space="preserve">.  </w:t>
      </w:r>
      <w:r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>Доля работающих подростков моложе трудоспособного возраста в</w:t>
      </w:r>
      <w:r w:rsidRPr="00FE594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суммарной численности работающих граждан, находящихся за пределами трудоспособного возраста, в прогнозном периоде будет составлять  0,</w:t>
      </w:r>
      <w:r w:rsidR="00D3698B"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>% ежегодно.</w:t>
      </w:r>
      <w:r w:rsidRPr="00772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E4A4D" w:rsidRDefault="00D85649" w:rsidP="00FE4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факторов, компенсирующих недостаток трудовых ресурсов</w:t>
      </w:r>
      <w:r w:rsidR="00D0273B"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E5940">
        <w:rPr>
          <w:rFonts w:ascii="Times New Roman" w:eastAsia="Calibri" w:hAnsi="Times New Roman" w:cs="Times New Roman"/>
          <w:sz w:val="28"/>
          <w:szCs w:val="28"/>
          <w:lang w:eastAsia="ru-RU"/>
        </w:rPr>
        <w:t>, является привлечение на работу иностранных трудовых мигрантов как из стран ближнего, так и дальнего зарубежья. П</w:t>
      </w:r>
      <w:r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о данным </w:t>
      </w:r>
      <w:proofErr w:type="spellStart"/>
      <w:r w:rsidRPr="00FE5940">
        <w:rPr>
          <w:rFonts w:ascii="Times New Roman" w:hAnsi="Times New Roman" w:cs="Times New Roman"/>
          <w:color w:val="000000"/>
          <w:sz w:val="28"/>
          <w:szCs w:val="28"/>
        </w:rPr>
        <w:t>Новосибирскстата</w:t>
      </w:r>
      <w:proofErr w:type="spellEnd"/>
      <w:r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64FA4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E5940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7468B" w:rsidRPr="00FE594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 году численность иностранных трудовых мигрантов, участвующих в экономической деятельности региона, </w:t>
      </w:r>
      <w:r w:rsidR="00F7468B" w:rsidRPr="00FE5940">
        <w:rPr>
          <w:rFonts w:ascii="Times New Roman" w:hAnsi="Times New Roman" w:cs="Times New Roman"/>
          <w:color w:val="000000"/>
          <w:sz w:val="28"/>
          <w:szCs w:val="28"/>
        </w:rPr>
        <w:t>снизилас</w:t>
      </w:r>
      <w:r w:rsidRPr="00FE5940">
        <w:rPr>
          <w:rFonts w:ascii="Times New Roman" w:hAnsi="Times New Roman" w:cs="Times New Roman"/>
          <w:color w:val="000000"/>
          <w:sz w:val="28"/>
          <w:szCs w:val="28"/>
        </w:rPr>
        <w:t>ь по сравнению с 201</w:t>
      </w:r>
      <w:r w:rsidR="00F7468B" w:rsidRPr="00FE59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 годом </w:t>
      </w:r>
      <w:r w:rsidR="005D5AE5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7468B" w:rsidRPr="00FE5940">
        <w:rPr>
          <w:rFonts w:ascii="Times New Roman" w:hAnsi="Times New Roman" w:cs="Times New Roman"/>
          <w:color w:val="000000"/>
          <w:sz w:val="28"/>
          <w:szCs w:val="28"/>
        </w:rPr>
        <w:t>21,7 тыс.</w:t>
      </w:r>
      <w:r w:rsidR="005D5AE5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 человек  </w:t>
      </w:r>
      <w:r w:rsidR="00532616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и составила </w:t>
      </w:r>
      <w:r w:rsidR="00F7468B" w:rsidRPr="00FE5940">
        <w:rPr>
          <w:rFonts w:ascii="Times New Roman" w:hAnsi="Times New Roman" w:cs="Times New Roman"/>
          <w:color w:val="000000"/>
          <w:sz w:val="28"/>
          <w:szCs w:val="28"/>
        </w:rPr>
        <w:t>52,5</w:t>
      </w:r>
      <w:r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 тыс. человек. </w:t>
      </w:r>
      <w:r w:rsidR="00FE4A4D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процессов в сфере трудовой миграции осуществляется с соблюдением  принципа приоритетного трудоустройства российских граждан, созданием на рынке труда устойчивого равновесия, при котором потребность в иностранной рабочей силе совпадает с объемом ее предложения, </w:t>
      </w:r>
      <w:r w:rsidR="006C683A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FE4A4D" w:rsidRPr="00FE5940">
        <w:rPr>
          <w:rFonts w:ascii="Times New Roman" w:hAnsi="Times New Roman" w:cs="Times New Roman"/>
          <w:color w:val="000000"/>
          <w:sz w:val="28"/>
          <w:szCs w:val="28"/>
        </w:rPr>
        <w:t xml:space="preserve">приведет к </w:t>
      </w:r>
      <w:r w:rsidR="00FE4A4D" w:rsidRPr="00FE5940">
        <w:rPr>
          <w:rFonts w:ascii="Times New Roman" w:hAnsi="Times New Roman" w:cs="Times New Roman"/>
          <w:sz w:val="28"/>
          <w:szCs w:val="28"/>
        </w:rPr>
        <w:t>снижению</w:t>
      </w:r>
      <w:r w:rsidR="00FE4A4D" w:rsidRPr="00FE5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4A4D" w:rsidRPr="00FE5940"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численности иностранной рабочей силы.</w:t>
      </w:r>
      <w:r w:rsidR="00FE4A4D" w:rsidRPr="00CC0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4EE" w:rsidRDefault="00CB34EE" w:rsidP="00FE4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этапом оценки ситуации на региональном рынке труда являются анализ </w:t>
      </w:r>
      <w:r w:rsidR="00E12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состояния и использования трудовых ресурсов. При</w:t>
      </w:r>
      <w:r w:rsidR="00E12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этом одним из важнейших показателей, характеризующих трудовые ресурсы, являются уровень занятости и уровень безработицы населения. </w:t>
      </w:r>
    </w:p>
    <w:p w:rsidR="00316F7E" w:rsidRDefault="00316F7E" w:rsidP="0031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занятости населения в 2017 году сложился ниже по сравнению             с 2016 годом на 0,2 процентных пункта и составил 64,4%. </w:t>
      </w:r>
      <w:r w:rsidR="008B341D">
        <w:rPr>
          <w:rFonts w:ascii="Times New Roman" w:hAnsi="Times New Roman" w:cs="Times New Roman"/>
          <w:sz w:val="28"/>
          <w:szCs w:val="28"/>
        </w:rPr>
        <w:t xml:space="preserve">Доля неработающих </w:t>
      </w:r>
      <w:r w:rsidRPr="005A5E4D">
        <w:rPr>
          <w:rFonts w:ascii="Times New Roman" w:hAnsi="Times New Roman"/>
          <w:sz w:val="28"/>
          <w:szCs w:val="28"/>
        </w:rPr>
        <w:t xml:space="preserve"> </w:t>
      </w:r>
      <w:r w:rsidR="008B341D">
        <w:rPr>
          <w:rFonts w:ascii="Times New Roman" w:hAnsi="Times New Roman"/>
          <w:sz w:val="28"/>
          <w:szCs w:val="28"/>
        </w:rPr>
        <w:t xml:space="preserve">в численности населения 15-72 лет </w:t>
      </w:r>
      <w:r w:rsidR="002A1154">
        <w:rPr>
          <w:rFonts w:ascii="Times New Roman" w:hAnsi="Times New Roman"/>
          <w:sz w:val="28"/>
          <w:szCs w:val="28"/>
        </w:rPr>
        <w:t xml:space="preserve">(по методологии МОТ) </w:t>
      </w:r>
      <w:r w:rsidRPr="005A5E4D">
        <w:rPr>
          <w:rFonts w:ascii="Times New Roman" w:hAnsi="Times New Roman"/>
          <w:sz w:val="28"/>
          <w:szCs w:val="28"/>
        </w:rPr>
        <w:t>составил</w:t>
      </w:r>
      <w:r w:rsidR="008B341D">
        <w:rPr>
          <w:rFonts w:ascii="Times New Roman" w:hAnsi="Times New Roman"/>
          <w:sz w:val="28"/>
          <w:szCs w:val="28"/>
        </w:rPr>
        <w:t>а</w:t>
      </w:r>
      <w:r w:rsidRPr="005A5E4D">
        <w:rPr>
          <w:rFonts w:ascii="Times New Roman" w:hAnsi="Times New Roman"/>
          <w:sz w:val="28"/>
          <w:szCs w:val="28"/>
        </w:rPr>
        <w:t xml:space="preserve"> 6%, что на 1,4 п</w:t>
      </w:r>
      <w:r>
        <w:rPr>
          <w:rFonts w:ascii="Times New Roman" w:hAnsi="Times New Roman"/>
          <w:sz w:val="28"/>
          <w:szCs w:val="28"/>
        </w:rPr>
        <w:t xml:space="preserve">роцентных пункта ниже 2016 года. </w:t>
      </w:r>
      <w:proofErr w:type="gramStart"/>
      <w:r w:rsidRPr="005A5E4D">
        <w:rPr>
          <w:rFonts w:ascii="Times New Roman" w:hAnsi="Times New Roman" w:cs="Times New Roman"/>
          <w:sz w:val="28"/>
          <w:szCs w:val="28"/>
        </w:rPr>
        <w:t>Уровень официально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5E4D">
        <w:rPr>
          <w:rFonts w:ascii="Times New Roman" w:hAnsi="Times New Roman" w:cs="Times New Roman"/>
          <w:sz w:val="28"/>
          <w:szCs w:val="28"/>
        </w:rPr>
        <w:t xml:space="preserve"> безработицы снизился по сравнению с 2016 годом на 0,2 процентных пункта и на конец 2017 года составил 0,9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5A5E4D">
        <w:rPr>
          <w:rFonts w:ascii="Times New Roman" w:hAnsi="Times New Roman" w:cs="Times New Roman"/>
          <w:sz w:val="28"/>
          <w:szCs w:val="28"/>
        </w:rPr>
        <w:t>Это самый низкий показатель среди регионов Сибирского федерального округа.</w:t>
      </w:r>
      <w:proofErr w:type="gramEnd"/>
      <w:r w:rsidRPr="005A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0E8B">
        <w:rPr>
          <w:rFonts w:ascii="Times New Roman" w:hAnsi="Times New Roman"/>
          <w:sz w:val="28"/>
          <w:szCs w:val="28"/>
        </w:rPr>
        <w:t xml:space="preserve"> прогнозном периоде ожидается сохранение уровня официальной безработицы в пределах 1% численности рабочей силы</w:t>
      </w:r>
      <w:r>
        <w:rPr>
          <w:rFonts w:ascii="Times New Roman" w:hAnsi="Times New Roman"/>
          <w:sz w:val="28"/>
          <w:szCs w:val="28"/>
        </w:rPr>
        <w:t>.</w:t>
      </w:r>
    </w:p>
    <w:p w:rsidR="00E123B9" w:rsidRPr="00743629" w:rsidRDefault="00E123B9" w:rsidP="00E12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3629">
        <w:rPr>
          <w:rFonts w:ascii="Times New Roman" w:eastAsia="Calibri" w:hAnsi="Times New Roman" w:cs="Times New Roman"/>
          <w:sz w:val="28"/>
          <w:szCs w:val="28"/>
        </w:rPr>
        <w:t>В 2017 году ч</w:t>
      </w: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исленность рабочей силы Новосибирской области по сравнению с 2016 годом уменьшилась на 1,7%  (1428,2 тыс. человек), в основном, за счет снижения экономической активности </w:t>
      </w:r>
      <w:r w:rsidR="002A1154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возраста.</w:t>
      </w:r>
    </w:p>
    <w:p w:rsidR="00E123B9" w:rsidRPr="00C1687D" w:rsidRDefault="00E123B9" w:rsidP="00E12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прогнозном периоде, в </w:t>
      </w:r>
      <w:r w:rsidRPr="00743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сохранения значительного миграционного прироста,</w:t>
      </w: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увеличения продолжительности здоровой жизни в совокупности с увеличением пенсионного возраста возрастет уровень </w:t>
      </w: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экономической активности населения (в том числе в старших возрастах). В 2018 году ожидается сохранение численности экономически активного населения на уровне 2017 года. </w:t>
      </w:r>
      <w:r w:rsidRPr="0074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2021 году численность рабочей силы достигнет 1432,7 тыс. человек, что на 4,2 тыс. человек или </w:t>
      </w:r>
      <w:r w:rsidR="0002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43629">
        <w:rPr>
          <w:rFonts w:ascii="Times New Roman" w:eastAsia="Times New Roman" w:hAnsi="Times New Roman" w:cs="Times New Roman"/>
          <w:sz w:val="28"/>
          <w:szCs w:val="28"/>
          <w:lang w:eastAsia="ru-RU"/>
        </w:rPr>
        <w:t>0,3% превысит показатель 2018 года.</w:t>
      </w:r>
      <w:r w:rsidRPr="00C1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0BE" w:rsidRPr="00743629" w:rsidRDefault="003170BE" w:rsidP="00FE4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629">
        <w:rPr>
          <w:rFonts w:ascii="Times New Roman" w:hAnsi="Times New Roman" w:cs="Times New Roman"/>
          <w:color w:val="000000"/>
          <w:sz w:val="28"/>
          <w:szCs w:val="28"/>
        </w:rPr>
        <w:t>Под воздействием макроэкономических, демографических и миграционных процессов на рынке труда с 2014 года сформировалась устойчивая тенденция по снижению численности трудовых ресурсов.</w:t>
      </w:r>
    </w:p>
    <w:p w:rsidR="00EB25CB" w:rsidRPr="00CC04E4" w:rsidRDefault="00AD67E3" w:rsidP="00FE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29">
        <w:rPr>
          <w:rFonts w:ascii="Times New Roman" w:hAnsi="Times New Roman" w:cs="Times New Roman"/>
          <w:sz w:val="28"/>
          <w:szCs w:val="28"/>
        </w:rPr>
        <w:t xml:space="preserve">В </w:t>
      </w:r>
      <w:r w:rsidR="00EB25CB" w:rsidRPr="00743629">
        <w:rPr>
          <w:rFonts w:ascii="Times New Roman" w:hAnsi="Times New Roman" w:cs="Times New Roman"/>
          <w:sz w:val="28"/>
          <w:szCs w:val="28"/>
        </w:rPr>
        <w:t xml:space="preserve"> 201</w:t>
      </w:r>
      <w:r w:rsidR="00F7468B" w:rsidRPr="00743629">
        <w:rPr>
          <w:rFonts w:ascii="Times New Roman" w:hAnsi="Times New Roman" w:cs="Times New Roman"/>
          <w:sz w:val="28"/>
          <w:szCs w:val="28"/>
        </w:rPr>
        <w:t>7</w:t>
      </w:r>
      <w:r w:rsidR="00EB25CB" w:rsidRPr="00743629">
        <w:rPr>
          <w:rFonts w:ascii="Times New Roman" w:hAnsi="Times New Roman" w:cs="Times New Roman"/>
          <w:sz w:val="28"/>
          <w:szCs w:val="28"/>
        </w:rPr>
        <w:t xml:space="preserve"> году </w:t>
      </w:r>
      <w:r w:rsidR="00637565" w:rsidRPr="00743629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</w:t>
      </w:r>
      <w:r w:rsidR="0015284F" w:rsidRPr="00743629">
        <w:rPr>
          <w:rFonts w:ascii="Times New Roman" w:hAnsi="Times New Roman" w:cs="Times New Roman"/>
          <w:sz w:val="28"/>
          <w:szCs w:val="28"/>
        </w:rPr>
        <w:t>составила</w:t>
      </w:r>
      <w:r w:rsidR="0088288A" w:rsidRPr="00743629">
        <w:rPr>
          <w:rFonts w:ascii="Times New Roman" w:hAnsi="Times New Roman" w:cs="Times New Roman"/>
          <w:sz w:val="28"/>
          <w:szCs w:val="28"/>
        </w:rPr>
        <w:t xml:space="preserve"> </w:t>
      </w:r>
      <w:r w:rsidR="00637565" w:rsidRPr="00743629">
        <w:rPr>
          <w:rFonts w:ascii="Times New Roman" w:hAnsi="Times New Roman" w:cs="Times New Roman"/>
          <w:sz w:val="28"/>
          <w:szCs w:val="28"/>
        </w:rPr>
        <w:t>17</w:t>
      </w:r>
      <w:r w:rsidR="0015284F" w:rsidRPr="00743629">
        <w:rPr>
          <w:rFonts w:ascii="Times New Roman" w:hAnsi="Times New Roman" w:cs="Times New Roman"/>
          <w:sz w:val="28"/>
          <w:szCs w:val="28"/>
        </w:rPr>
        <w:t>3</w:t>
      </w:r>
      <w:r w:rsidR="00532616" w:rsidRPr="00743629">
        <w:rPr>
          <w:rFonts w:ascii="Times New Roman" w:hAnsi="Times New Roman" w:cs="Times New Roman"/>
          <w:sz w:val="28"/>
          <w:szCs w:val="28"/>
        </w:rPr>
        <w:t>0</w:t>
      </w:r>
      <w:r w:rsidR="00637565" w:rsidRPr="00743629">
        <w:rPr>
          <w:rFonts w:ascii="Times New Roman" w:hAnsi="Times New Roman" w:cs="Times New Roman"/>
          <w:sz w:val="28"/>
          <w:szCs w:val="28"/>
        </w:rPr>
        <w:t>,</w:t>
      </w:r>
      <w:r w:rsidR="003170BE" w:rsidRPr="00743629">
        <w:rPr>
          <w:rFonts w:ascii="Times New Roman" w:hAnsi="Times New Roman" w:cs="Times New Roman"/>
          <w:sz w:val="28"/>
          <w:szCs w:val="28"/>
        </w:rPr>
        <w:t>3</w:t>
      </w:r>
      <w:r w:rsidR="00637565" w:rsidRPr="00743629">
        <w:rPr>
          <w:rFonts w:ascii="Times New Roman" w:hAnsi="Times New Roman" w:cs="Times New Roman"/>
          <w:sz w:val="28"/>
          <w:szCs w:val="28"/>
        </w:rPr>
        <w:t xml:space="preserve"> </w:t>
      </w:r>
      <w:r w:rsidR="005B250E" w:rsidRPr="00743629">
        <w:rPr>
          <w:rFonts w:ascii="Times New Roman" w:hAnsi="Times New Roman" w:cs="Times New Roman"/>
          <w:sz w:val="28"/>
          <w:szCs w:val="28"/>
        </w:rPr>
        <w:t>тыс.</w:t>
      </w:r>
      <w:r w:rsidR="00637565" w:rsidRPr="0074362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696C" w:rsidRPr="0074362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756C9" w:rsidRPr="00743629">
        <w:rPr>
          <w:rFonts w:ascii="Times New Roman" w:hAnsi="Times New Roman" w:cs="Times New Roman"/>
          <w:sz w:val="28"/>
          <w:szCs w:val="28"/>
        </w:rPr>
        <w:t>6</w:t>
      </w:r>
      <w:r w:rsidR="003170BE" w:rsidRPr="00743629">
        <w:rPr>
          <w:rFonts w:ascii="Times New Roman" w:hAnsi="Times New Roman" w:cs="Times New Roman"/>
          <w:sz w:val="28"/>
          <w:szCs w:val="28"/>
        </w:rPr>
        <w:t>2</w:t>
      </w:r>
      <w:r w:rsidR="009756C9" w:rsidRPr="00743629">
        <w:rPr>
          <w:rFonts w:ascii="Times New Roman" w:hAnsi="Times New Roman" w:cs="Times New Roman"/>
          <w:sz w:val="28"/>
          <w:szCs w:val="28"/>
        </w:rPr>
        <w:t>,</w:t>
      </w:r>
      <w:r w:rsidR="003170BE" w:rsidRPr="00743629">
        <w:rPr>
          <w:rFonts w:ascii="Times New Roman" w:hAnsi="Times New Roman" w:cs="Times New Roman"/>
          <w:sz w:val="28"/>
          <w:szCs w:val="28"/>
        </w:rPr>
        <w:t>1</w:t>
      </w:r>
      <w:r w:rsidR="00637565" w:rsidRPr="00743629">
        <w:rPr>
          <w:rFonts w:ascii="Times New Roman" w:hAnsi="Times New Roman" w:cs="Times New Roman"/>
          <w:sz w:val="28"/>
          <w:szCs w:val="28"/>
        </w:rPr>
        <w:t xml:space="preserve">% </w:t>
      </w:r>
      <w:r w:rsidR="009756C9" w:rsidRPr="00743629">
        <w:rPr>
          <w:rFonts w:ascii="Times New Roman" w:hAnsi="Times New Roman" w:cs="Times New Roman"/>
          <w:sz w:val="28"/>
          <w:szCs w:val="28"/>
        </w:rPr>
        <w:t>от среднегодовой численности населения</w:t>
      </w:r>
      <w:r w:rsidR="009D58A4" w:rsidRPr="00743629">
        <w:rPr>
          <w:rFonts w:ascii="Times New Roman" w:hAnsi="Times New Roman" w:cs="Times New Roman"/>
          <w:sz w:val="28"/>
          <w:szCs w:val="28"/>
        </w:rPr>
        <w:t xml:space="preserve"> (в 201</w:t>
      </w:r>
      <w:r w:rsidR="00F7468B" w:rsidRPr="00743629">
        <w:rPr>
          <w:rFonts w:ascii="Times New Roman" w:hAnsi="Times New Roman" w:cs="Times New Roman"/>
          <w:sz w:val="28"/>
          <w:szCs w:val="28"/>
        </w:rPr>
        <w:t>6</w:t>
      </w:r>
      <w:r w:rsidR="009D58A4" w:rsidRPr="00743629">
        <w:rPr>
          <w:rFonts w:ascii="Times New Roman" w:hAnsi="Times New Roman" w:cs="Times New Roman"/>
          <w:sz w:val="28"/>
          <w:szCs w:val="28"/>
        </w:rPr>
        <w:t xml:space="preserve"> году – 6</w:t>
      </w:r>
      <w:r w:rsidR="003170BE" w:rsidRPr="00743629">
        <w:rPr>
          <w:rFonts w:ascii="Times New Roman" w:hAnsi="Times New Roman" w:cs="Times New Roman"/>
          <w:sz w:val="28"/>
          <w:szCs w:val="28"/>
        </w:rPr>
        <w:t>3</w:t>
      </w:r>
      <w:r w:rsidR="009D58A4" w:rsidRPr="00743629">
        <w:rPr>
          <w:rFonts w:ascii="Times New Roman" w:hAnsi="Times New Roman" w:cs="Times New Roman"/>
          <w:sz w:val="28"/>
          <w:szCs w:val="28"/>
        </w:rPr>
        <w:t>,</w:t>
      </w:r>
      <w:r w:rsidR="003170BE" w:rsidRPr="00743629">
        <w:rPr>
          <w:rFonts w:ascii="Times New Roman" w:hAnsi="Times New Roman" w:cs="Times New Roman"/>
          <w:sz w:val="28"/>
          <w:szCs w:val="28"/>
        </w:rPr>
        <w:t>5</w:t>
      </w:r>
      <w:r w:rsidR="009D58A4" w:rsidRPr="00743629">
        <w:rPr>
          <w:rFonts w:ascii="Times New Roman" w:hAnsi="Times New Roman" w:cs="Times New Roman"/>
          <w:sz w:val="28"/>
          <w:szCs w:val="28"/>
        </w:rPr>
        <w:t>%)</w:t>
      </w:r>
      <w:r w:rsidR="00634AAA" w:rsidRPr="00743629">
        <w:rPr>
          <w:rFonts w:ascii="Times New Roman" w:hAnsi="Times New Roman" w:cs="Times New Roman"/>
          <w:sz w:val="28"/>
          <w:szCs w:val="28"/>
        </w:rPr>
        <w:t>.</w:t>
      </w:r>
      <w:r w:rsidR="0028043A" w:rsidRPr="00CC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3A" w:rsidRDefault="006C683A" w:rsidP="001E5816">
      <w:pPr>
        <w:tabs>
          <w:tab w:val="left" w:pos="426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1DEF" w:rsidRPr="00743629">
        <w:rPr>
          <w:rFonts w:ascii="Times New Roman" w:hAnsi="Times New Roman" w:cs="Times New Roman"/>
          <w:sz w:val="28"/>
          <w:szCs w:val="28"/>
        </w:rPr>
        <w:t>В 201</w:t>
      </w:r>
      <w:r w:rsidR="00F7468B" w:rsidRPr="00743629">
        <w:rPr>
          <w:rFonts w:ascii="Times New Roman" w:hAnsi="Times New Roman" w:cs="Times New Roman"/>
          <w:sz w:val="28"/>
          <w:szCs w:val="28"/>
        </w:rPr>
        <w:t>8</w:t>
      </w:r>
      <w:r w:rsidR="009862FE" w:rsidRPr="00743629">
        <w:rPr>
          <w:rFonts w:ascii="Times New Roman" w:hAnsi="Times New Roman" w:cs="Times New Roman"/>
          <w:sz w:val="28"/>
          <w:szCs w:val="28"/>
        </w:rPr>
        <w:t xml:space="preserve"> </w:t>
      </w:r>
      <w:r w:rsidR="00474A6D" w:rsidRPr="00743629">
        <w:rPr>
          <w:rFonts w:ascii="Times New Roman" w:hAnsi="Times New Roman" w:cs="Times New Roman"/>
          <w:sz w:val="28"/>
          <w:szCs w:val="28"/>
        </w:rPr>
        <w:t>-</w:t>
      </w:r>
      <w:r w:rsidR="009862FE" w:rsidRPr="00743629">
        <w:rPr>
          <w:rFonts w:ascii="Times New Roman" w:hAnsi="Times New Roman" w:cs="Times New Roman"/>
          <w:sz w:val="28"/>
          <w:szCs w:val="28"/>
        </w:rPr>
        <w:t xml:space="preserve"> </w:t>
      </w:r>
      <w:r w:rsidR="00474A6D" w:rsidRPr="00743629">
        <w:rPr>
          <w:rFonts w:ascii="Times New Roman" w:hAnsi="Times New Roman" w:cs="Times New Roman"/>
          <w:sz w:val="28"/>
          <w:szCs w:val="28"/>
        </w:rPr>
        <w:t>20</w:t>
      </w:r>
      <w:r w:rsidR="00B61DFE" w:rsidRPr="00743629">
        <w:rPr>
          <w:rFonts w:ascii="Times New Roman" w:hAnsi="Times New Roman" w:cs="Times New Roman"/>
          <w:sz w:val="28"/>
          <w:szCs w:val="28"/>
        </w:rPr>
        <w:t>2</w:t>
      </w:r>
      <w:r w:rsidR="00F7468B" w:rsidRPr="00743629">
        <w:rPr>
          <w:rFonts w:ascii="Times New Roman" w:hAnsi="Times New Roman" w:cs="Times New Roman"/>
          <w:sz w:val="28"/>
          <w:szCs w:val="28"/>
        </w:rPr>
        <w:t>1</w:t>
      </w:r>
      <w:r w:rsidR="00F552A1" w:rsidRPr="00743629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A63521" w:rsidRPr="00743629">
        <w:rPr>
          <w:rFonts w:ascii="Times New Roman" w:hAnsi="Times New Roman" w:cs="Times New Roman"/>
          <w:sz w:val="28"/>
          <w:szCs w:val="28"/>
        </w:rPr>
        <w:t xml:space="preserve">тенденция снижения </w:t>
      </w:r>
      <w:r w:rsidR="00B94297" w:rsidRPr="00743629">
        <w:rPr>
          <w:rFonts w:ascii="Times New Roman" w:hAnsi="Times New Roman" w:cs="Times New Roman"/>
          <w:sz w:val="28"/>
          <w:szCs w:val="28"/>
        </w:rPr>
        <w:t>численности трудовых ресурсов</w:t>
      </w:r>
      <w:r w:rsidR="00503247" w:rsidRPr="00743629">
        <w:rPr>
          <w:rFonts w:ascii="Times New Roman" w:hAnsi="Times New Roman" w:cs="Times New Roman"/>
          <w:sz w:val="28"/>
          <w:szCs w:val="28"/>
        </w:rPr>
        <w:t xml:space="preserve"> и их доля в общей численности населения</w:t>
      </w:r>
      <w:r w:rsidR="00A63521" w:rsidRPr="00743629">
        <w:rPr>
          <w:rFonts w:ascii="Times New Roman" w:hAnsi="Times New Roman" w:cs="Times New Roman"/>
          <w:sz w:val="28"/>
          <w:szCs w:val="28"/>
        </w:rPr>
        <w:t xml:space="preserve"> </w:t>
      </w:r>
      <w:r w:rsidR="00C159D4" w:rsidRPr="00743629">
        <w:rPr>
          <w:rFonts w:ascii="Times New Roman" w:hAnsi="Times New Roman" w:cs="Times New Roman"/>
          <w:sz w:val="28"/>
          <w:szCs w:val="28"/>
        </w:rPr>
        <w:t xml:space="preserve">сохранится. </w:t>
      </w:r>
      <w:r w:rsidR="00A63521" w:rsidRPr="00743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629">
        <w:rPr>
          <w:rFonts w:ascii="Times New Roman" w:hAnsi="Times New Roman" w:cs="Times New Roman"/>
          <w:sz w:val="28"/>
          <w:szCs w:val="28"/>
        </w:rPr>
        <w:t>За счет продолжающего сокращения численности населения в трудоспособном возрасте и численности иностранных трудовых мигрантов численность трудовых ресурсов снизится с 17</w:t>
      </w:r>
      <w:r w:rsidR="00316F7E" w:rsidRPr="00743629">
        <w:rPr>
          <w:rFonts w:ascii="Times New Roman" w:hAnsi="Times New Roman" w:cs="Times New Roman"/>
          <w:sz w:val="28"/>
          <w:szCs w:val="28"/>
        </w:rPr>
        <w:t>15</w:t>
      </w:r>
      <w:r w:rsidRPr="00743629">
        <w:rPr>
          <w:rFonts w:ascii="Times New Roman" w:hAnsi="Times New Roman" w:cs="Times New Roman"/>
          <w:sz w:val="28"/>
          <w:szCs w:val="28"/>
        </w:rPr>
        <w:t>,</w:t>
      </w:r>
      <w:r w:rsidR="00316F7E" w:rsidRPr="00743629">
        <w:rPr>
          <w:rFonts w:ascii="Times New Roman" w:hAnsi="Times New Roman" w:cs="Times New Roman"/>
          <w:sz w:val="28"/>
          <w:szCs w:val="28"/>
        </w:rPr>
        <w:t>2</w:t>
      </w:r>
      <w:r w:rsidRPr="00743629">
        <w:rPr>
          <w:rFonts w:ascii="Times New Roman" w:hAnsi="Times New Roman" w:cs="Times New Roman"/>
          <w:sz w:val="28"/>
          <w:szCs w:val="28"/>
        </w:rPr>
        <w:t xml:space="preserve"> тыс. человек в 201</w:t>
      </w:r>
      <w:r w:rsidR="00F7468B" w:rsidRPr="00743629">
        <w:rPr>
          <w:rFonts w:ascii="Times New Roman" w:hAnsi="Times New Roman" w:cs="Times New Roman"/>
          <w:sz w:val="28"/>
          <w:szCs w:val="28"/>
        </w:rPr>
        <w:t>8</w:t>
      </w:r>
      <w:r w:rsidRPr="00743629">
        <w:rPr>
          <w:rFonts w:ascii="Times New Roman" w:hAnsi="Times New Roman" w:cs="Times New Roman"/>
          <w:sz w:val="28"/>
          <w:szCs w:val="28"/>
        </w:rPr>
        <w:t xml:space="preserve"> году до 17</w:t>
      </w:r>
      <w:r w:rsidR="00316F7E" w:rsidRPr="00743629">
        <w:rPr>
          <w:rFonts w:ascii="Times New Roman" w:hAnsi="Times New Roman" w:cs="Times New Roman"/>
          <w:sz w:val="28"/>
          <w:szCs w:val="28"/>
        </w:rPr>
        <w:t>03</w:t>
      </w:r>
      <w:r w:rsidRPr="00743629">
        <w:rPr>
          <w:rFonts w:ascii="Times New Roman" w:hAnsi="Times New Roman" w:cs="Times New Roman"/>
          <w:sz w:val="28"/>
          <w:szCs w:val="28"/>
        </w:rPr>
        <w:t>,</w:t>
      </w:r>
      <w:r w:rsidR="00316F7E" w:rsidRPr="00743629">
        <w:rPr>
          <w:rFonts w:ascii="Times New Roman" w:hAnsi="Times New Roman" w:cs="Times New Roman"/>
          <w:sz w:val="28"/>
          <w:szCs w:val="28"/>
        </w:rPr>
        <w:t>7</w:t>
      </w:r>
      <w:r w:rsidRPr="00743629">
        <w:rPr>
          <w:rFonts w:ascii="Times New Roman" w:hAnsi="Times New Roman" w:cs="Times New Roman"/>
          <w:sz w:val="28"/>
          <w:szCs w:val="28"/>
        </w:rPr>
        <w:t xml:space="preserve"> тыс. человек в 202</w:t>
      </w:r>
      <w:r w:rsidR="00F7468B" w:rsidRPr="00743629">
        <w:rPr>
          <w:rFonts w:ascii="Times New Roman" w:hAnsi="Times New Roman" w:cs="Times New Roman"/>
          <w:sz w:val="28"/>
          <w:szCs w:val="28"/>
        </w:rPr>
        <w:t>1</w:t>
      </w:r>
      <w:r w:rsidRPr="00743629">
        <w:rPr>
          <w:rFonts w:ascii="Times New Roman" w:hAnsi="Times New Roman" w:cs="Times New Roman"/>
          <w:sz w:val="28"/>
          <w:szCs w:val="28"/>
        </w:rPr>
        <w:t xml:space="preserve"> году, а их доля в численности населения уменьшится с 6</w:t>
      </w:r>
      <w:r w:rsidR="00316F7E" w:rsidRPr="00743629">
        <w:rPr>
          <w:rFonts w:ascii="Times New Roman" w:hAnsi="Times New Roman" w:cs="Times New Roman"/>
          <w:sz w:val="28"/>
          <w:szCs w:val="28"/>
        </w:rPr>
        <w:t>1</w:t>
      </w:r>
      <w:r w:rsidRPr="00743629">
        <w:rPr>
          <w:rFonts w:ascii="Times New Roman" w:hAnsi="Times New Roman" w:cs="Times New Roman"/>
          <w:sz w:val="28"/>
          <w:szCs w:val="28"/>
        </w:rPr>
        <w:t>,</w:t>
      </w:r>
      <w:r w:rsidR="00316F7E" w:rsidRPr="00743629">
        <w:rPr>
          <w:rFonts w:ascii="Times New Roman" w:hAnsi="Times New Roman" w:cs="Times New Roman"/>
          <w:sz w:val="28"/>
          <w:szCs w:val="28"/>
        </w:rPr>
        <w:t>4</w:t>
      </w:r>
      <w:r w:rsidRPr="00743629">
        <w:rPr>
          <w:rFonts w:ascii="Times New Roman" w:hAnsi="Times New Roman" w:cs="Times New Roman"/>
          <w:sz w:val="28"/>
          <w:szCs w:val="28"/>
        </w:rPr>
        <w:t>% в 201</w:t>
      </w:r>
      <w:r w:rsidR="00F7468B" w:rsidRPr="00743629">
        <w:rPr>
          <w:rFonts w:ascii="Times New Roman" w:hAnsi="Times New Roman" w:cs="Times New Roman"/>
          <w:sz w:val="28"/>
          <w:szCs w:val="28"/>
        </w:rPr>
        <w:t>8</w:t>
      </w:r>
      <w:r w:rsidRPr="00743629">
        <w:rPr>
          <w:rFonts w:ascii="Times New Roman" w:hAnsi="Times New Roman" w:cs="Times New Roman"/>
          <w:sz w:val="28"/>
          <w:szCs w:val="28"/>
        </w:rPr>
        <w:t xml:space="preserve"> году до 6</w:t>
      </w:r>
      <w:r w:rsidR="00316F7E" w:rsidRPr="00743629">
        <w:rPr>
          <w:rFonts w:ascii="Times New Roman" w:hAnsi="Times New Roman" w:cs="Times New Roman"/>
          <w:sz w:val="28"/>
          <w:szCs w:val="28"/>
        </w:rPr>
        <w:t>0</w:t>
      </w:r>
      <w:r w:rsidRPr="00743629">
        <w:rPr>
          <w:rFonts w:ascii="Times New Roman" w:hAnsi="Times New Roman" w:cs="Times New Roman"/>
          <w:sz w:val="28"/>
          <w:szCs w:val="28"/>
        </w:rPr>
        <w:t>,</w:t>
      </w:r>
      <w:r w:rsidR="00316F7E" w:rsidRPr="00743629">
        <w:rPr>
          <w:rFonts w:ascii="Times New Roman" w:hAnsi="Times New Roman" w:cs="Times New Roman"/>
          <w:sz w:val="28"/>
          <w:szCs w:val="28"/>
        </w:rPr>
        <w:t>2</w:t>
      </w:r>
      <w:r w:rsidRPr="00743629">
        <w:rPr>
          <w:rFonts w:ascii="Times New Roman" w:hAnsi="Times New Roman" w:cs="Times New Roman"/>
          <w:sz w:val="28"/>
          <w:szCs w:val="28"/>
        </w:rPr>
        <w:t>% в 202</w:t>
      </w:r>
      <w:r w:rsidR="00F7468B" w:rsidRPr="00743629">
        <w:rPr>
          <w:rFonts w:ascii="Times New Roman" w:hAnsi="Times New Roman" w:cs="Times New Roman"/>
          <w:sz w:val="28"/>
          <w:szCs w:val="28"/>
        </w:rPr>
        <w:t>1</w:t>
      </w:r>
      <w:r w:rsidRPr="00743629">
        <w:rPr>
          <w:rFonts w:ascii="Times New Roman" w:hAnsi="Times New Roman" w:cs="Times New Roman"/>
          <w:sz w:val="28"/>
          <w:szCs w:val="28"/>
        </w:rPr>
        <w:t xml:space="preserve"> году (диаграмма 4).</w:t>
      </w:r>
      <w:proofErr w:type="gramEnd"/>
      <w:r w:rsidRPr="00743629">
        <w:rPr>
          <w:rFonts w:ascii="Times New Roman" w:hAnsi="Times New Roman" w:cs="Times New Roman"/>
          <w:sz w:val="28"/>
          <w:szCs w:val="28"/>
        </w:rPr>
        <w:t xml:space="preserve"> </w:t>
      </w:r>
      <w:r w:rsidR="00316F7E" w:rsidRPr="00743629">
        <w:rPr>
          <w:rFonts w:ascii="Times New Roman" w:hAnsi="Times New Roman" w:cs="Times New Roman"/>
          <w:sz w:val="28"/>
          <w:szCs w:val="28"/>
        </w:rPr>
        <w:t>Общее снижение трудовых</w:t>
      </w:r>
      <w:r w:rsidR="00316F7E">
        <w:rPr>
          <w:rFonts w:ascii="Times New Roman" w:hAnsi="Times New Roman" w:cs="Times New Roman"/>
          <w:sz w:val="28"/>
          <w:szCs w:val="28"/>
        </w:rPr>
        <w:t xml:space="preserve"> ресурсов за 2019-2021 годы составит 0,7% или 11,5 тыс. человек.</w:t>
      </w:r>
    </w:p>
    <w:p w:rsidR="008365AE" w:rsidRDefault="008365AE" w:rsidP="008365AE">
      <w:pPr>
        <w:tabs>
          <w:tab w:val="left" w:pos="426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AF4D02" wp14:editId="222A0CC3">
            <wp:extent cx="5237544" cy="3269848"/>
            <wp:effectExtent l="0" t="0" r="127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5A2F" w:rsidRDefault="00E15A2F" w:rsidP="001E5816">
      <w:pPr>
        <w:tabs>
          <w:tab w:val="left" w:pos="426"/>
          <w:tab w:val="left" w:pos="538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7098B" w:rsidRPr="00743629" w:rsidRDefault="00C1687D" w:rsidP="00C02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3629">
        <w:rPr>
          <w:rFonts w:ascii="Times New Roman" w:eastAsia="Times New Roman" w:hAnsi="Times New Roman" w:cs="Courier New"/>
          <w:sz w:val="28"/>
          <w:szCs w:val="20"/>
          <w:lang w:eastAsia="ru-RU"/>
        </w:rPr>
        <w:t>Стимулирование реализации инвестиционных и инновационных проектов на территории Новосибирской области будет являться основой для сохранения темпов роста численности занятых в экономике региона</w:t>
      </w: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43A91" w:rsidRPr="00743629" w:rsidRDefault="00843A91" w:rsidP="00C02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Новосибирскстата</w:t>
      </w:r>
      <w:proofErr w:type="spellEnd"/>
      <w:r w:rsidRPr="0074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2017 году численность занятых в экономике составила  1340,7 тыс. человек, увеличившись по сравнению с 2016 годом на 0,1%.</w:t>
      </w:r>
    </w:p>
    <w:p w:rsidR="00E15A2F" w:rsidRDefault="00843A91" w:rsidP="00C0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98B" w:rsidRPr="00743629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выборочных обследований рабочей силы численность занятого населения в среднем за 3 квартал 2018 года </w:t>
      </w:r>
      <w:r w:rsidRPr="00743629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составила </w:t>
      </w:r>
      <w:r w:rsidR="00F7098B" w:rsidRPr="00743629">
        <w:rPr>
          <w:rFonts w:ascii="Times New Roman" w:hAnsi="Times New Roman" w:cs="Times New Roman"/>
          <w:color w:val="000000"/>
          <w:sz w:val="28"/>
          <w:szCs w:val="28"/>
        </w:rPr>
        <w:t xml:space="preserve">1337,2 тыс. человек, </w:t>
      </w:r>
      <w:r w:rsidR="00F7098B" w:rsidRPr="007436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безработных – 94,3 тыс. человек. Ожидается, что по итогам года численность з</w:t>
      </w:r>
      <w:r w:rsidR="00C023B8" w:rsidRPr="00743629">
        <w:rPr>
          <w:rFonts w:ascii="Times New Roman" w:hAnsi="Times New Roman" w:cs="Times New Roman"/>
          <w:sz w:val="28"/>
          <w:szCs w:val="28"/>
        </w:rPr>
        <w:t>анято</w:t>
      </w:r>
      <w:r w:rsidR="00F7098B" w:rsidRPr="00743629">
        <w:rPr>
          <w:rFonts w:ascii="Times New Roman" w:hAnsi="Times New Roman" w:cs="Times New Roman"/>
          <w:sz w:val="28"/>
          <w:szCs w:val="28"/>
        </w:rPr>
        <w:t>го</w:t>
      </w:r>
      <w:r w:rsidR="00C023B8" w:rsidRPr="00743629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F7098B" w:rsidRPr="00743629">
        <w:rPr>
          <w:rFonts w:ascii="Times New Roman" w:hAnsi="Times New Roman" w:cs="Times New Roman"/>
          <w:sz w:val="28"/>
          <w:szCs w:val="28"/>
        </w:rPr>
        <w:t>я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увеличится </w:t>
      </w:r>
      <w:r w:rsidR="00F7098B" w:rsidRPr="00743629">
        <w:rPr>
          <w:rFonts w:ascii="Times New Roman" w:hAnsi="Times New Roman" w:cs="Times New Roman"/>
          <w:sz w:val="28"/>
          <w:szCs w:val="28"/>
        </w:rPr>
        <w:t>незначительно</w:t>
      </w:r>
      <w:r w:rsidRPr="00743629">
        <w:rPr>
          <w:rFonts w:ascii="Times New Roman" w:hAnsi="Times New Roman" w:cs="Times New Roman"/>
          <w:sz w:val="28"/>
          <w:szCs w:val="28"/>
        </w:rPr>
        <w:t xml:space="preserve"> (на </w:t>
      </w:r>
      <w:r w:rsidR="00E15A2F" w:rsidRPr="00743629">
        <w:rPr>
          <w:rFonts w:ascii="Times New Roman" w:hAnsi="Times New Roman" w:cs="Times New Roman"/>
          <w:sz w:val="28"/>
          <w:szCs w:val="28"/>
        </w:rPr>
        <w:t>0,</w:t>
      </w:r>
      <w:r w:rsidR="00C1687D" w:rsidRPr="00743629">
        <w:rPr>
          <w:rFonts w:ascii="Times New Roman" w:hAnsi="Times New Roman" w:cs="Times New Roman"/>
          <w:sz w:val="28"/>
          <w:szCs w:val="28"/>
        </w:rPr>
        <w:t>05</w:t>
      </w:r>
      <w:r w:rsidRPr="00743629">
        <w:rPr>
          <w:rFonts w:ascii="Times New Roman" w:hAnsi="Times New Roman" w:cs="Times New Roman"/>
          <w:sz w:val="28"/>
          <w:szCs w:val="28"/>
        </w:rPr>
        <w:t xml:space="preserve">%) </w:t>
      </w:r>
      <w:r w:rsidR="00E15A2F" w:rsidRPr="00743629">
        <w:rPr>
          <w:rFonts w:ascii="Times New Roman" w:hAnsi="Times New Roman" w:cs="Times New Roman"/>
          <w:sz w:val="28"/>
          <w:szCs w:val="28"/>
        </w:rPr>
        <w:t>и составит  134</w:t>
      </w:r>
      <w:r w:rsidR="00C1687D" w:rsidRPr="00743629">
        <w:rPr>
          <w:rFonts w:ascii="Times New Roman" w:hAnsi="Times New Roman" w:cs="Times New Roman"/>
          <w:sz w:val="28"/>
          <w:szCs w:val="28"/>
        </w:rPr>
        <w:t>1</w:t>
      </w:r>
      <w:r w:rsidR="00E15A2F" w:rsidRPr="00743629">
        <w:rPr>
          <w:rFonts w:ascii="Times New Roman" w:hAnsi="Times New Roman" w:cs="Times New Roman"/>
          <w:sz w:val="28"/>
          <w:szCs w:val="28"/>
        </w:rPr>
        <w:t>,4 тыс. человек. В 201</w:t>
      </w:r>
      <w:r w:rsidR="00C1687D" w:rsidRPr="00743629">
        <w:rPr>
          <w:rFonts w:ascii="Times New Roman" w:hAnsi="Times New Roman" w:cs="Times New Roman"/>
          <w:sz w:val="28"/>
          <w:szCs w:val="28"/>
        </w:rPr>
        <w:t>9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- 202</w:t>
      </w:r>
      <w:r w:rsidR="00C1687D" w:rsidRPr="00743629">
        <w:rPr>
          <w:rFonts w:ascii="Times New Roman" w:hAnsi="Times New Roman" w:cs="Times New Roman"/>
          <w:sz w:val="28"/>
          <w:szCs w:val="28"/>
        </w:rPr>
        <w:t>1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годах тенденция роста численности занятых в экономике сохранится и к 202</w:t>
      </w:r>
      <w:r w:rsidR="00C1687D" w:rsidRPr="00743629">
        <w:rPr>
          <w:rFonts w:ascii="Times New Roman" w:hAnsi="Times New Roman" w:cs="Times New Roman"/>
          <w:sz w:val="28"/>
          <w:szCs w:val="28"/>
        </w:rPr>
        <w:t>1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году она составит 134</w:t>
      </w:r>
      <w:r w:rsidR="00C1687D" w:rsidRPr="00743629">
        <w:rPr>
          <w:rFonts w:ascii="Times New Roman" w:hAnsi="Times New Roman" w:cs="Times New Roman"/>
          <w:sz w:val="28"/>
          <w:szCs w:val="28"/>
        </w:rPr>
        <w:t>5</w:t>
      </w:r>
      <w:r w:rsidR="00E15A2F" w:rsidRPr="00743629">
        <w:rPr>
          <w:rFonts w:ascii="Times New Roman" w:hAnsi="Times New Roman" w:cs="Times New Roman"/>
          <w:sz w:val="28"/>
          <w:szCs w:val="28"/>
        </w:rPr>
        <w:t>,</w:t>
      </w:r>
      <w:r w:rsidR="00C1687D" w:rsidRPr="00743629">
        <w:rPr>
          <w:rFonts w:ascii="Times New Roman" w:hAnsi="Times New Roman" w:cs="Times New Roman"/>
          <w:sz w:val="28"/>
          <w:szCs w:val="28"/>
        </w:rPr>
        <w:t>4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тыс. человек. Одновременно будет расти и  уровень занятости трудовых ресурсов с  7</w:t>
      </w:r>
      <w:r w:rsidR="00743629" w:rsidRPr="00743629">
        <w:rPr>
          <w:rFonts w:ascii="Times New Roman" w:hAnsi="Times New Roman" w:cs="Times New Roman"/>
          <w:sz w:val="28"/>
          <w:szCs w:val="28"/>
        </w:rPr>
        <w:t>8</w:t>
      </w:r>
      <w:r w:rsidR="00E15A2F" w:rsidRPr="00743629">
        <w:rPr>
          <w:rFonts w:ascii="Times New Roman" w:hAnsi="Times New Roman" w:cs="Times New Roman"/>
          <w:sz w:val="28"/>
          <w:szCs w:val="28"/>
        </w:rPr>
        <w:t>,</w:t>
      </w:r>
      <w:r w:rsidR="00743629" w:rsidRPr="00743629">
        <w:rPr>
          <w:rFonts w:ascii="Times New Roman" w:hAnsi="Times New Roman" w:cs="Times New Roman"/>
          <w:sz w:val="28"/>
          <w:szCs w:val="28"/>
        </w:rPr>
        <w:t>2</w:t>
      </w:r>
      <w:r w:rsidR="00E15A2F" w:rsidRPr="00743629">
        <w:rPr>
          <w:rFonts w:ascii="Times New Roman" w:hAnsi="Times New Roman" w:cs="Times New Roman"/>
          <w:sz w:val="28"/>
          <w:szCs w:val="28"/>
        </w:rPr>
        <w:t>% в 201</w:t>
      </w:r>
      <w:r w:rsidR="00C1687D" w:rsidRPr="00743629">
        <w:rPr>
          <w:rFonts w:ascii="Times New Roman" w:hAnsi="Times New Roman" w:cs="Times New Roman"/>
          <w:sz w:val="28"/>
          <w:szCs w:val="28"/>
        </w:rPr>
        <w:t>8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году до 7</w:t>
      </w:r>
      <w:r w:rsidR="00743629" w:rsidRPr="00743629">
        <w:rPr>
          <w:rFonts w:ascii="Times New Roman" w:hAnsi="Times New Roman" w:cs="Times New Roman"/>
          <w:sz w:val="28"/>
          <w:szCs w:val="28"/>
        </w:rPr>
        <w:t>9</w:t>
      </w:r>
      <w:r w:rsidR="00E15A2F" w:rsidRPr="00743629">
        <w:rPr>
          <w:rFonts w:ascii="Times New Roman" w:hAnsi="Times New Roman" w:cs="Times New Roman"/>
          <w:sz w:val="28"/>
          <w:szCs w:val="28"/>
        </w:rPr>
        <w:t>% в 202</w:t>
      </w:r>
      <w:r w:rsidR="00C1687D" w:rsidRPr="00743629">
        <w:rPr>
          <w:rFonts w:ascii="Times New Roman" w:hAnsi="Times New Roman" w:cs="Times New Roman"/>
          <w:sz w:val="28"/>
          <w:szCs w:val="28"/>
        </w:rPr>
        <w:t>1</w:t>
      </w:r>
      <w:r w:rsidR="00E15A2F" w:rsidRPr="00743629">
        <w:rPr>
          <w:rFonts w:ascii="Times New Roman" w:hAnsi="Times New Roman" w:cs="Times New Roman"/>
          <w:sz w:val="28"/>
          <w:szCs w:val="28"/>
        </w:rPr>
        <w:t xml:space="preserve"> году (диаграмма 5).</w:t>
      </w:r>
      <w:r w:rsidR="00E15A2F" w:rsidRPr="001C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098B" w:rsidRDefault="001A3E2C" w:rsidP="00E87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3E2C">
        <w:rPr>
          <w:noProof/>
          <w:sz w:val="20"/>
          <w:lang w:eastAsia="ru-RU"/>
        </w:rPr>
        <w:drawing>
          <wp:inline distT="0" distB="0" distL="0" distR="0" wp14:anchorId="15C49244" wp14:editId="312BEAE2">
            <wp:extent cx="4890304" cy="2922608"/>
            <wp:effectExtent l="0" t="0" r="571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B2150" w:rsidRDefault="00CB2150" w:rsidP="0071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C3" w:rsidRDefault="00BB6AC3" w:rsidP="00BB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67">
        <w:rPr>
          <w:rFonts w:ascii="Times New Roman" w:hAnsi="Times New Roman" w:cs="Times New Roman"/>
          <w:sz w:val="28"/>
          <w:szCs w:val="28"/>
        </w:rPr>
        <w:t>В структуре занятых по видам экономической деятельности наибольший удельный вес занима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8A5167">
        <w:rPr>
          <w:rFonts w:ascii="Times New Roman" w:hAnsi="Times New Roman" w:cs="Times New Roman"/>
          <w:sz w:val="28"/>
          <w:szCs w:val="28"/>
        </w:rPr>
        <w:t xml:space="preserve"> такие виды деятельности, как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338E2">
        <w:rPr>
          <w:rFonts w:ascii="Times New Roman" w:hAnsi="Times New Roman" w:cs="Times New Roman"/>
          <w:sz w:val="28"/>
          <w:szCs w:val="28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8"/>
          <w:szCs w:val="28"/>
        </w:rPr>
        <w:t>; обрабатывающие производс</w:t>
      </w:r>
      <w:r w:rsidR="007C2D4C">
        <w:rPr>
          <w:rFonts w:ascii="Times New Roman" w:hAnsi="Times New Roman" w:cs="Times New Roman"/>
          <w:sz w:val="28"/>
          <w:szCs w:val="28"/>
        </w:rPr>
        <w:t>тва; транспортировка и хранение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131" w:rsidRDefault="00173322" w:rsidP="0071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C3">
        <w:rPr>
          <w:rFonts w:ascii="Times New Roman" w:hAnsi="Times New Roman" w:cs="Times New Roman"/>
          <w:sz w:val="28"/>
          <w:szCs w:val="28"/>
        </w:rPr>
        <w:t xml:space="preserve">На фоне прогнозируемого роста </w:t>
      </w:r>
      <w:r w:rsidR="00794A07" w:rsidRPr="00BB6AC3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C057AD" w:rsidRPr="00BB6AC3">
        <w:rPr>
          <w:rFonts w:ascii="Times New Roman" w:hAnsi="Times New Roman" w:cs="Times New Roman"/>
          <w:sz w:val="28"/>
          <w:szCs w:val="28"/>
        </w:rPr>
        <w:t>к 20</w:t>
      </w:r>
      <w:r w:rsidR="00791D49" w:rsidRPr="00BB6AC3">
        <w:rPr>
          <w:rFonts w:ascii="Times New Roman" w:hAnsi="Times New Roman" w:cs="Times New Roman"/>
          <w:sz w:val="28"/>
          <w:szCs w:val="28"/>
        </w:rPr>
        <w:t>2</w:t>
      </w:r>
      <w:r w:rsidR="00037E75" w:rsidRPr="00BB6AC3">
        <w:rPr>
          <w:rFonts w:ascii="Times New Roman" w:hAnsi="Times New Roman" w:cs="Times New Roman"/>
          <w:sz w:val="28"/>
          <w:szCs w:val="28"/>
        </w:rPr>
        <w:t>1</w:t>
      </w:r>
      <w:r w:rsidR="00C057AD" w:rsidRPr="00BB6AC3">
        <w:rPr>
          <w:rFonts w:ascii="Times New Roman" w:hAnsi="Times New Roman" w:cs="Times New Roman"/>
          <w:sz w:val="28"/>
          <w:szCs w:val="28"/>
        </w:rPr>
        <w:t xml:space="preserve"> году</w:t>
      </w:r>
      <w:r w:rsidR="001637A5" w:rsidRPr="00BB6AC3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37E75" w:rsidRPr="00BB6AC3">
        <w:rPr>
          <w:rFonts w:ascii="Times New Roman" w:hAnsi="Times New Roman" w:cs="Times New Roman"/>
          <w:sz w:val="28"/>
          <w:szCs w:val="28"/>
        </w:rPr>
        <w:t>8</w:t>
      </w:r>
      <w:r w:rsidR="001637A5" w:rsidRPr="00BB6AC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FA2EBA" w:rsidRPr="00BB6AC3">
        <w:rPr>
          <w:rFonts w:ascii="Times New Roman" w:hAnsi="Times New Roman" w:cs="Times New Roman"/>
          <w:sz w:val="28"/>
          <w:szCs w:val="28"/>
        </w:rPr>
        <w:t xml:space="preserve"> ожидается увеличение</w:t>
      </w:r>
      <w:r w:rsidR="00C057AD" w:rsidRPr="00BB6AC3">
        <w:rPr>
          <w:rFonts w:ascii="Times New Roman" w:hAnsi="Times New Roman" w:cs="Times New Roman"/>
          <w:sz w:val="28"/>
          <w:szCs w:val="28"/>
        </w:rPr>
        <w:t xml:space="preserve"> </w:t>
      </w:r>
      <w:r w:rsidR="001637A5" w:rsidRPr="00BB6AC3">
        <w:rPr>
          <w:rFonts w:ascii="Times New Roman" w:hAnsi="Times New Roman" w:cs="Times New Roman"/>
          <w:sz w:val="28"/>
          <w:szCs w:val="28"/>
        </w:rPr>
        <w:t>численност</w:t>
      </w:r>
      <w:r w:rsidR="00FA2EBA" w:rsidRPr="00BB6AC3">
        <w:rPr>
          <w:rFonts w:ascii="Times New Roman" w:hAnsi="Times New Roman" w:cs="Times New Roman"/>
          <w:sz w:val="28"/>
          <w:szCs w:val="28"/>
        </w:rPr>
        <w:t>и</w:t>
      </w:r>
      <w:r w:rsidR="001637A5" w:rsidRPr="00BB6AC3">
        <w:rPr>
          <w:rFonts w:ascii="Times New Roman" w:hAnsi="Times New Roman" w:cs="Times New Roman"/>
          <w:sz w:val="28"/>
          <w:szCs w:val="28"/>
        </w:rPr>
        <w:t xml:space="preserve"> занятых по</w:t>
      </w:r>
      <w:r w:rsidR="00FA2EBA" w:rsidRPr="00BB6AC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1637A5" w:rsidRPr="00BB6AC3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</w:t>
      </w:r>
      <w:r w:rsidR="003C3F22" w:rsidRPr="00BB6AC3">
        <w:rPr>
          <w:rFonts w:ascii="Times New Roman" w:hAnsi="Times New Roman" w:cs="Times New Roman"/>
          <w:sz w:val="28"/>
          <w:szCs w:val="28"/>
        </w:rPr>
        <w:t>:</w:t>
      </w:r>
      <w:r w:rsidR="00F34CC2" w:rsidRPr="00BB6AC3">
        <w:rPr>
          <w:rFonts w:ascii="Times New Roman" w:hAnsi="Times New Roman" w:cs="Times New Roman"/>
          <w:sz w:val="28"/>
          <w:szCs w:val="28"/>
        </w:rPr>
        <w:t xml:space="preserve"> </w:t>
      </w:r>
      <w:r w:rsidR="003D63E8" w:rsidRPr="00BB6AC3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 - на 2,</w:t>
      </w:r>
      <w:r w:rsidR="00EE2101" w:rsidRPr="00BB6AC3">
        <w:rPr>
          <w:rFonts w:ascii="Times New Roman" w:hAnsi="Times New Roman" w:cs="Times New Roman"/>
          <w:sz w:val="28"/>
          <w:szCs w:val="28"/>
        </w:rPr>
        <w:t>3</w:t>
      </w:r>
      <w:r w:rsidR="003D63E8" w:rsidRPr="00BB6AC3">
        <w:rPr>
          <w:rFonts w:ascii="Times New Roman" w:hAnsi="Times New Roman" w:cs="Times New Roman"/>
          <w:sz w:val="28"/>
          <w:szCs w:val="28"/>
        </w:rPr>
        <w:t xml:space="preserve">%, </w:t>
      </w:r>
      <w:r w:rsidR="00557131" w:rsidRPr="00BB6AC3">
        <w:rPr>
          <w:rFonts w:ascii="Times New Roman" w:hAnsi="Times New Roman" w:cs="Times New Roman"/>
          <w:sz w:val="28"/>
          <w:szCs w:val="28"/>
        </w:rPr>
        <w:t>деятельность по операциям с недвижимым имуществ</w:t>
      </w:r>
      <w:r w:rsidR="00FF0D74">
        <w:rPr>
          <w:rFonts w:ascii="Times New Roman" w:hAnsi="Times New Roman" w:cs="Times New Roman"/>
          <w:sz w:val="28"/>
          <w:szCs w:val="28"/>
        </w:rPr>
        <w:t>о</w:t>
      </w:r>
      <w:r w:rsidR="00557131" w:rsidRPr="00BB6AC3">
        <w:rPr>
          <w:rFonts w:ascii="Times New Roman" w:hAnsi="Times New Roman" w:cs="Times New Roman"/>
          <w:sz w:val="28"/>
          <w:szCs w:val="28"/>
        </w:rPr>
        <w:t>м - на 1,7%</w:t>
      </w:r>
      <w:r w:rsidR="00692E47" w:rsidRPr="00BB6AC3">
        <w:rPr>
          <w:rFonts w:ascii="Times New Roman" w:hAnsi="Times New Roman" w:cs="Times New Roman"/>
          <w:sz w:val="28"/>
          <w:szCs w:val="28"/>
        </w:rPr>
        <w:t xml:space="preserve">, </w:t>
      </w:r>
      <w:r w:rsidR="00F34CC2" w:rsidRPr="00BB6AC3">
        <w:rPr>
          <w:rFonts w:ascii="Times New Roman" w:hAnsi="Times New Roman" w:cs="Times New Roman"/>
          <w:sz w:val="28"/>
          <w:szCs w:val="28"/>
        </w:rPr>
        <w:t xml:space="preserve">добыча полезных ископаемых - на </w:t>
      </w:r>
      <w:r w:rsidR="00564910" w:rsidRPr="00BB6AC3">
        <w:rPr>
          <w:rFonts w:ascii="Times New Roman" w:hAnsi="Times New Roman" w:cs="Times New Roman"/>
          <w:sz w:val="28"/>
          <w:szCs w:val="28"/>
        </w:rPr>
        <w:t>1</w:t>
      </w:r>
      <w:r w:rsidR="00F34CC2" w:rsidRPr="00BB6AC3">
        <w:rPr>
          <w:rFonts w:ascii="Times New Roman" w:hAnsi="Times New Roman" w:cs="Times New Roman"/>
          <w:sz w:val="28"/>
          <w:szCs w:val="28"/>
        </w:rPr>
        <w:t>,</w:t>
      </w:r>
      <w:r w:rsidR="00564910" w:rsidRPr="00BB6AC3">
        <w:rPr>
          <w:rFonts w:ascii="Times New Roman" w:hAnsi="Times New Roman" w:cs="Times New Roman"/>
          <w:sz w:val="28"/>
          <w:szCs w:val="28"/>
        </w:rPr>
        <w:t>5</w:t>
      </w:r>
      <w:r w:rsidR="00F34CC2" w:rsidRPr="00BB6AC3">
        <w:rPr>
          <w:rFonts w:ascii="Times New Roman" w:hAnsi="Times New Roman" w:cs="Times New Roman"/>
          <w:sz w:val="28"/>
          <w:szCs w:val="28"/>
        </w:rPr>
        <w:t xml:space="preserve">%, </w:t>
      </w:r>
      <w:r w:rsidR="00557131" w:rsidRPr="00BB6AC3">
        <w:rPr>
          <w:rFonts w:ascii="Times New Roman" w:hAnsi="Times New Roman" w:cs="Times New Roman"/>
          <w:sz w:val="28"/>
          <w:szCs w:val="28"/>
        </w:rPr>
        <w:t xml:space="preserve">деятельность административная и сопутствующие дополнительные услуги - на 1,2%, транспортировка и хранение - на 0,9%, </w:t>
      </w:r>
      <w:r w:rsidR="00275629" w:rsidRPr="00BB6AC3">
        <w:rPr>
          <w:rFonts w:ascii="Times New Roman" w:hAnsi="Times New Roman" w:cs="Times New Roman"/>
          <w:sz w:val="28"/>
          <w:szCs w:val="28"/>
        </w:rPr>
        <w:t xml:space="preserve">строительство - на 0,7%,  </w:t>
      </w:r>
      <w:r w:rsidR="00EE2101" w:rsidRPr="00BB6AC3">
        <w:rPr>
          <w:rFonts w:ascii="Times New Roman" w:hAnsi="Times New Roman" w:cs="Times New Roman"/>
          <w:sz w:val="28"/>
          <w:szCs w:val="28"/>
        </w:rPr>
        <w:t>обрабатывающие</w:t>
      </w:r>
      <w:proofErr w:type="gramEnd"/>
      <w:r w:rsidR="00EE2101" w:rsidRPr="00BB6AC3">
        <w:rPr>
          <w:rFonts w:ascii="Times New Roman" w:hAnsi="Times New Roman" w:cs="Times New Roman"/>
          <w:sz w:val="28"/>
          <w:szCs w:val="28"/>
        </w:rPr>
        <w:t xml:space="preserve"> производства - на 0,6%, </w:t>
      </w:r>
      <w:r w:rsidR="00557131" w:rsidRPr="00BB6AC3">
        <w:rPr>
          <w:rFonts w:ascii="Times New Roman" w:hAnsi="Times New Roman" w:cs="Times New Roman"/>
          <w:sz w:val="28"/>
          <w:szCs w:val="28"/>
        </w:rPr>
        <w:t xml:space="preserve">торговля оптовая и розничная; ремонт автотранспортных средств и мотоциклов </w:t>
      </w:r>
      <w:r w:rsidR="00275629" w:rsidRPr="00BB6AC3">
        <w:rPr>
          <w:rFonts w:ascii="Times New Roman" w:hAnsi="Times New Roman" w:cs="Times New Roman"/>
          <w:sz w:val="28"/>
          <w:szCs w:val="28"/>
        </w:rPr>
        <w:t>- на 0,5%.</w:t>
      </w:r>
      <w:r w:rsidR="00EE2101" w:rsidRPr="00BB6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DA" w:rsidRDefault="00692E47" w:rsidP="00715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C3">
        <w:rPr>
          <w:rFonts w:ascii="Times New Roman" w:hAnsi="Times New Roman" w:cs="Times New Roman"/>
          <w:sz w:val="28"/>
          <w:szCs w:val="28"/>
        </w:rPr>
        <w:t xml:space="preserve"> </w:t>
      </w:r>
      <w:r w:rsidR="005D52ED" w:rsidRPr="00BB6AC3">
        <w:rPr>
          <w:rFonts w:ascii="Times New Roman" w:hAnsi="Times New Roman" w:cs="Times New Roman"/>
          <w:sz w:val="28"/>
          <w:szCs w:val="28"/>
        </w:rPr>
        <w:t xml:space="preserve">Тенденция снижения численности занятых </w:t>
      </w:r>
      <w:r w:rsidR="00F5671B" w:rsidRPr="00BB6AC3">
        <w:rPr>
          <w:rFonts w:ascii="Times New Roman" w:hAnsi="Times New Roman" w:cs="Times New Roman"/>
          <w:sz w:val="28"/>
          <w:szCs w:val="28"/>
        </w:rPr>
        <w:t>в 201</w:t>
      </w:r>
      <w:r w:rsidR="00557131" w:rsidRPr="00BB6AC3">
        <w:rPr>
          <w:rFonts w:ascii="Times New Roman" w:hAnsi="Times New Roman" w:cs="Times New Roman"/>
          <w:sz w:val="28"/>
          <w:szCs w:val="28"/>
        </w:rPr>
        <w:t>9</w:t>
      </w:r>
      <w:r w:rsidR="00FA7A39" w:rsidRPr="00BB6AC3">
        <w:rPr>
          <w:rFonts w:ascii="Times New Roman" w:hAnsi="Times New Roman" w:cs="Times New Roman"/>
          <w:sz w:val="28"/>
          <w:szCs w:val="28"/>
        </w:rPr>
        <w:t>-20</w:t>
      </w:r>
      <w:r w:rsidR="00F5671B" w:rsidRPr="00BB6AC3">
        <w:rPr>
          <w:rFonts w:ascii="Times New Roman" w:hAnsi="Times New Roman" w:cs="Times New Roman"/>
          <w:sz w:val="28"/>
          <w:szCs w:val="28"/>
        </w:rPr>
        <w:t>2</w:t>
      </w:r>
      <w:r w:rsidR="00A81EDA" w:rsidRPr="00BB6AC3">
        <w:rPr>
          <w:rFonts w:ascii="Times New Roman" w:hAnsi="Times New Roman" w:cs="Times New Roman"/>
          <w:sz w:val="28"/>
          <w:szCs w:val="28"/>
        </w:rPr>
        <w:t>1</w:t>
      </w:r>
      <w:r w:rsidR="00FA7A39" w:rsidRPr="00BB6AC3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D52ED" w:rsidRPr="00BB6AC3">
        <w:rPr>
          <w:rFonts w:ascii="Times New Roman" w:hAnsi="Times New Roman" w:cs="Times New Roman"/>
          <w:sz w:val="28"/>
          <w:szCs w:val="28"/>
        </w:rPr>
        <w:t xml:space="preserve"> </w:t>
      </w:r>
      <w:r w:rsidR="00152BDE" w:rsidRPr="00BB6AC3">
        <w:rPr>
          <w:rFonts w:ascii="Times New Roman" w:hAnsi="Times New Roman" w:cs="Times New Roman"/>
          <w:sz w:val="28"/>
          <w:szCs w:val="28"/>
        </w:rPr>
        <w:t>по сравнению с 201</w:t>
      </w:r>
      <w:r w:rsidR="00A81EDA" w:rsidRPr="00BB6AC3">
        <w:rPr>
          <w:rFonts w:ascii="Times New Roman" w:hAnsi="Times New Roman" w:cs="Times New Roman"/>
          <w:sz w:val="28"/>
          <w:szCs w:val="28"/>
        </w:rPr>
        <w:t>8</w:t>
      </w:r>
      <w:r w:rsidR="00152BDE" w:rsidRPr="00BB6AC3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A81EDA" w:rsidRPr="00BB6AC3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5D52ED" w:rsidRPr="00BB6AC3">
        <w:rPr>
          <w:rFonts w:ascii="Times New Roman" w:hAnsi="Times New Roman" w:cs="Times New Roman"/>
          <w:sz w:val="28"/>
          <w:szCs w:val="28"/>
        </w:rPr>
        <w:t>в</w:t>
      </w:r>
      <w:r w:rsidR="0090076B" w:rsidRPr="00BB6AC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D52ED" w:rsidRPr="00BB6AC3">
        <w:rPr>
          <w:rFonts w:ascii="Times New Roman" w:hAnsi="Times New Roman" w:cs="Times New Roman"/>
          <w:sz w:val="28"/>
          <w:szCs w:val="28"/>
        </w:rPr>
        <w:t>х</w:t>
      </w:r>
      <w:r w:rsidR="0090076B" w:rsidRPr="00BB6AC3">
        <w:rPr>
          <w:rFonts w:ascii="Times New Roman" w:hAnsi="Times New Roman" w:cs="Times New Roman"/>
          <w:sz w:val="28"/>
          <w:szCs w:val="28"/>
        </w:rPr>
        <w:t xml:space="preserve"> </w:t>
      </w:r>
      <w:r w:rsidR="00173322" w:rsidRPr="00BB6AC3">
        <w:rPr>
          <w:rFonts w:ascii="Times New Roman" w:hAnsi="Times New Roman" w:cs="Times New Roman"/>
          <w:sz w:val="28"/>
          <w:szCs w:val="28"/>
        </w:rPr>
        <w:t>вид</w:t>
      </w:r>
      <w:r w:rsidR="00947F23" w:rsidRPr="00BB6AC3">
        <w:rPr>
          <w:rFonts w:ascii="Times New Roman" w:hAnsi="Times New Roman" w:cs="Times New Roman"/>
          <w:sz w:val="28"/>
          <w:szCs w:val="28"/>
        </w:rPr>
        <w:t>а</w:t>
      </w:r>
      <w:r w:rsidR="005D52ED" w:rsidRPr="00BB6AC3">
        <w:rPr>
          <w:rFonts w:ascii="Times New Roman" w:hAnsi="Times New Roman" w:cs="Times New Roman"/>
          <w:sz w:val="28"/>
          <w:szCs w:val="28"/>
        </w:rPr>
        <w:t>х</w:t>
      </w:r>
      <w:r w:rsidR="00173322" w:rsidRPr="00BB6AC3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947F23" w:rsidRPr="00BB6AC3">
        <w:rPr>
          <w:rFonts w:ascii="Times New Roman" w:hAnsi="Times New Roman" w:cs="Times New Roman"/>
          <w:sz w:val="28"/>
          <w:szCs w:val="28"/>
        </w:rPr>
        <w:t>:</w:t>
      </w:r>
      <w:r w:rsidR="00173322" w:rsidRPr="00BB6AC3">
        <w:rPr>
          <w:rFonts w:ascii="Times New Roman" w:hAnsi="Times New Roman" w:cs="Times New Roman"/>
          <w:sz w:val="28"/>
          <w:szCs w:val="28"/>
        </w:rPr>
        <w:t xml:space="preserve"> </w:t>
      </w:r>
      <w:r w:rsidR="00A81EDA" w:rsidRPr="00BB6AC3">
        <w:rPr>
          <w:rFonts w:ascii="Times New Roman" w:hAnsi="Times New Roman" w:cs="Times New Roman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 - на 6,4%,  деятельность гостиниц и предприятий общественного питания - на 1,8%,  государственное управление и обеспечение военной безопасности; социальное обеспечение</w:t>
      </w:r>
      <w:r w:rsidR="00FF0D74">
        <w:rPr>
          <w:rFonts w:ascii="Times New Roman" w:hAnsi="Times New Roman" w:cs="Times New Roman"/>
          <w:sz w:val="28"/>
          <w:szCs w:val="28"/>
        </w:rPr>
        <w:t xml:space="preserve"> - на 1,2%, </w:t>
      </w:r>
      <w:r w:rsidR="00A81EDA" w:rsidRPr="00BB6AC3">
        <w:rPr>
          <w:rFonts w:ascii="Times New Roman" w:hAnsi="Times New Roman" w:cs="Times New Roman"/>
          <w:sz w:val="28"/>
          <w:szCs w:val="28"/>
        </w:rPr>
        <w:t>образование</w:t>
      </w:r>
      <w:r w:rsidR="00FF0D74">
        <w:rPr>
          <w:rFonts w:ascii="Times New Roman" w:hAnsi="Times New Roman" w:cs="Times New Roman"/>
          <w:sz w:val="28"/>
          <w:szCs w:val="28"/>
        </w:rPr>
        <w:t xml:space="preserve"> - на 1%, </w:t>
      </w:r>
      <w:r w:rsidR="00A81EDA" w:rsidRPr="00BB6AC3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 - на 0,9%.</w:t>
      </w:r>
      <w:r w:rsidR="00A81EDA" w:rsidRPr="00A81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ACA" w:rsidRPr="00BB6AC3" w:rsidRDefault="001E7ACA" w:rsidP="001E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B6AC3">
        <w:rPr>
          <w:rFonts w:ascii="Times New Roman" w:hAnsi="Times New Roman" w:cs="Times New Roman"/>
          <w:sz w:val="28"/>
          <w:szCs w:val="28"/>
        </w:rPr>
        <w:t>Численность населения в трудоспособном возрасте, не занятого в экономике, в 201</w:t>
      </w:r>
      <w:r w:rsidR="00E04F6F" w:rsidRPr="00BB6AC3">
        <w:rPr>
          <w:rFonts w:ascii="Times New Roman" w:hAnsi="Times New Roman" w:cs="Times New Roman"/>
          <w:sz w:val="28"/>
          <w:szCs w:val="28"/>
        </w:rPr>
        <w:t>7</w:t>
      </w:r>
      <w:r w:rsidRPr="00BB6AC3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E04F6F" w:rsidRPr="00BB6AC3">
        <w:rPr>
          <w:rFonts w:ascii="Times New Roman" w:hAnsi="Times New Roman" w:cs="Times New Roman"/>
          <w:sz w:val="28"/>
          <w:szCs w:val="28"/>
        </w:rPr>
        <w:t>389,6</w:t>
      </w:r>
      <w:r w:rsidRPr="00BB6AC3">
        <w:rPr>
          <w:rFonts w:ascii="Times New Roman" w:hAnsi="Times New Roman" w:cs="Times New Roman"/>
          <w:sz w:val="28"/>
          <w:szCs w:val="28"/>
        </w:rPr>
        <w:t xml:space="preserve"> тыс. человек, или 2</w:t>
      </w:r>
      <w:r w:rsidR="00E04F6F" w:rsidRPr="00BB6AC3">
        <w:rPr>
          <w:rFonts w:ascii="Times New Roman" w:hAnsi="Times New Roman" w:cs="Times New Roman"/>
          <w:sz w:val="28"/>
          <w:szCs w:val="28"/>
        </w:rPr>
        <w:t>2</w:t>
      </w:r>
      <w:r w:rsidRPr="00BB6AC3">
        <w:rPr>
          <w:rFonts w:ascii="Times New Roman" w:hAnsi="Times New Roman" w:cs="Times New Roman"/>
          <w:sz w:val="28"/>
          <w:szCs w:val="28"/>
        </w:rPr>
        <w:t>,</w:t>
      </w:r>
      <w:r w:rsidR="00E04F6F" w:rsidRPr="00BB6AC3">
        <w:rPr>
          <w:rFonts w:ascii="Times New Roman" w:hAnsi="Times New Roman" w:cs="Times New Roman"/>
          <w:sz w:val="28"/>
          <w:szCs w:val="28"/>
        </w:rPr>
        <w:t>5</w:t>
      </w:r>
      <w:r w:rsidRPr="00BB6AC3">
        <w:rPr>
          <w:rFonts w:ascii="Times New Roman" w:hAnsi="Times New Roman" w:cs="Times New Roman"/>
          <w:sz w:val="28"/>
          <w:szCs w:val="28"/>
        </w:rPr>
        <w:t>% от общей численности трудовых ресурсов области. К 2020 году прогнозируется снижение численности населения, не  занятого в экономике до 3</w:t>
      </w:r>
      <w:r w:rsidR="00BB6AC3" w:rsidRPr="00BB6AC3">
        <w:rPr>
          <w:rFonts w:ascii="Times New Roman" w:hAnsi="Times New Roman" w:cs="Times New Roman"/>
          <w:sz w:val="28"/>
          <w:szCs w:val="28"/>
        </w:rPr>
        <w:t>58</w:t>
      </w:r>
      <w:r w:rsidRPr="00BB6AC3">
        <w:rPr>
          <w:rFonts w:ascii="Times New Roman" w:hAnsi="Times New Roman" w:cs="Times New Roman"/>
          <w:sz w:val="28"/>
          <w:szCs w:val="28"/>
        </w:rPr>
        <w:t>,</w:t>
      </w:r>
      <w:r w:rsidR="00BB6AC3" w:rsidRPr="00BB6AC3">
        <w:rPr>
          <w:rFonts w:ascii="Times New Roman" w:hAnsi="Times New Roman" w:cs="Times New Roman"/>
          <w:sz w:val="28"/>
          <w:szCs w:val="28"/>
        </w:rPr>
        <w:t>3</w:t>
      </w:r>
      <w:r w:rsidRPr="00BB6AC3">
        <w:rPr>
          <w:rFonts w:ascii="Times New Roman" w:hAnsi="Times New Roman" w:cs="Times New Roman"/>
          <w:sz w:val="28"/>
          <w:szCs w:val="28"/>
        </w:rPr>
        <w:t xml:space="preserve"> тыс. человек, его доля в численности трудовых ресурсов области составит 21%.</w:t>
      </w:r>
    </w:p>
    <w:p w:rsidR="001E7ACA" w:rsidRPr="00A202EA" w:rsidRDefault="001E7ACA" w:rsidP="001E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EA">
        <w:rPr>
          <w:sz w:val="28"/>
          <w:szCs w:val="28"/>
        </w:rPr>
        <w:t xml:space="preserve">         </w:t>
      </w:r>
      <w:r w:rsidRPr="00A202EA">
        <w:rPr>
          <w:rFonts w:ascii="Times New Roman" w:hAnsi="Times New Roman" w:cs="Times New Roman"/>
          <w:sz w:val="28"/>
          <w:szCs w:val="28"/>
        </w:rPr>
        <w:t xml:space="preserve">Потенциальным резервом обеспечения экономики области трудовыми ресурсами являются </w:t>
      </w:r>
      <w:r w:rsidR="0002112E">
        <w:rPr>
          <w:rFonts w:ascii="Times New Roman" w:hAnsi="Times New Roman" w:cs="Times New Roman"/>
          <w:sz w:val="28"/>
          <w:szCs w:val="28"/>
        </w:rPr>
        <w:t>обу</w:t>
      </w:r>
      <w:r w:rsidRPr="00A202EA">
        <w:rPr>
          <w:rFonts w:ascii="Times New Roman" w:hAnsi="Times New Roman" w:cs="Times New Roman"/>
          <w:sz w:val="28"/>
          <w:szCs w:val="28"/>
        </w:rPr>
        <w:t>ча</w:t>
      </w:r>
      <w:r w:rsidR="0002112E">
        <w:rPr>
          <w:rFonts w:ascii="Times New Roman" w:hAnsi="Times New Roman" w:cs="Times New Roman"/>
          <w:sz w:val="28"/>
          <w:szCs w:val="28"/>
        </w:rPr>
        <w:t>ю</w:t>
      </w:r>
      <w:r w:rsidRPr="00A202EA">
        <w:rPr>
          <w:rFonts w:ascii="Times New Roman" w:hAnsi="Times New Roman" w:cs="Times New Roman"/>
          <w:sz w:val="28"/>
          <w:szCs w:val="28"/>
        </w:rPr>
        <w:t xml:space="preserve">щиеся трудоспособного возраста, </w:t>
      </w:r>
      <w:r w:rsidR="0002112E">
        <w:rPr>
          <w:rFonts w:ascii="Times New Roman" w:hAnsi="Times New Roman" w:cs="Times New Roman"/>
          <w:sz w:val="28"/>
          <w:szCs w:val="28"/>
        </w:rPr>
        <w:t>не совмещающие обучение с работой</w:t>
      </w:r>
      <w:r w:rsidRPr="00A202EA">
        <w:rPr>
          <w:rFonts w:ascii="Times New Roman" w:hAnsi="Times New Roman" w:cs="Times New Roman"/>
          <w:sz w:val="28"/>
          <w:szCs w:val="28"/>
        </w:rPr>
        <w:t xml:space="preserve">. Согласно данным </w:t>
      </w:r>
      <w:proofErr w:type="spellStart"/>
      <w:r w:rsidRPr="00A202EA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A202EA">
        <w:rPr>
          <w:rFonts w:ascii="Times New Roman" w:hAnsi="Times New Roman" w:cs="Times New Roman"/>
          <w:sz w:val="28"/>
          <w:szCs w:val="28"/>
        </w:rPr>
        <w:t xml:space="preserve">, численность </w:t>
      </w:r>
      <w:r w:rsidR="001965CC">
        <w:rPr>
          <w:rFonts w:ascii="Times New Roman" w:hAnsi="Times New Roman" w:cs="Times New Roman"/>
          <w:sz w:val="28"/>
          <w:szCs w:val="28"/>
        </w:rPr>
        <w:t>обучаю</w:t>
      </w:r>
      <w:r w:rsidRPr="00A202EA">
        <w:rPr>
          <w:rFonts w:ascii="Times New Roman" w:hAnsi="Times New Roman" w:cs="Times New Roman"/>
          <w:sz w:val="28"/>
          <w:szCs w:val="28"/>
        </w:rPr>
        <w:t xml:space="preserve">щихся в трудоспособном возрасте, </w:t>
      </w:r>
      <w:r w:rsidR="001965CC">
        <w:rPr>
          <w:rFonts w:ascii="Times New Roman" w:hAnsi="Times New Roman" w:cs="Times New Roman"/>
          <w:sz w:val="28"/>
          <w:szCs w:val="28"/>
        </w:rPr>
        <w:t>не совмещающих обучение с работой</w:t>
      </w:r>
      <w:r w:rsidRPr="00A202EA">
        <w:rPr>
          <w:rFonts w:ascii="Times New Roman" w:hAnsi="Times New Roman" w:cs="Times New Roman"/>
          <w:sz w:val="28"/>
          <w:szCs w:val="28"/>
        </w:rPr>
        <w:t>, в 201</w:t>
      </w:r>
      <w:r w:rsidR="004D495D" w:rsidRPr="00A202EA">
        <w:rPr>
          <w:rFonts w:ascii="Times New Roman" w:hAnsi="Times New Roman" w:cs="Times New Roman"/>
          <w:sz w:val="28"/>
          <w:szCs w:val="28"/>
        </w:rPr>
        <w:t>7</w:t>
      </w:r>
      <w:r w:rsidRPr="00A202E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202EA">
        <w:rPr>
          <w:rFonts w:ascii="Times New Roman" w:hAnsi="Times New Roman" w:cs="Times New Roman"/>
        </w:rPr>
        <w:t xml:space="preserve"> </w:t>
      </w:r>
      <w:r w:rsidRPr="00A202EA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4D495D" w:rsidRPr="00A202EA">
        <w:rPr>
          <w:rFonts w:ascii="Times New Roman" w:hAnsi="Times New Roman" w:cs="Times New Roman"/>
          <w:sz w:val="28"/>
          <w:szCs w:val="28"/>
        </w:rPr>
        <w:t>2</w:t>
      </w:r>
      <w:r w:rsidRPr="00A202EA">
        <w:rPr>
          <w:rFonts w:ascii="Times New Roman" w:hAnsi="Times New Roman" w:cs="Times New Roman"/>
          <w:sz w:val="28"/>
          <w:szCs w:val="28"/>
        </w:rPr>
        <w:t>,</w:t>
      </w:r>
      <w:r w:rsidR="004D495D" w:rsidRPr="00A202EA">
        <w:rPr>
          <w:rFonts w:ascii="Times New Roman" w:hAnsi="Times New Roman" w:cs="Times New Roman"/>
          <w:sz w:val="28"/>
          <w:szCs w:val="28"/>
        </w:rPr>
        <w:t>3</w:t>
      </w:r>
      <w:r w:rsidRPr="00A202EA">
        <w:rPr>
          <w:rFonts w:ascii="Times New Roman" w:hAnsi="Times New Roman" w:cs="Times New Roman"/>
          <w:sz w:val="28"/>
          <w:szCs w:val="28"/>
        </w:rPr>
        <w:t xml:space="preserve"> тыс. чел. относительно 201</w:t>
      </w:r>
      <w:r w:rsidR="004D495D" w:rsidRPr="00A202EA">
        <w:rPr>
          <w:rFonts w:ascii="Times New Roman" w:hAnsi="Times New Roman" w:cs="Times New Roman"/>
          <w:sz w:val="28"/>
          <w:szCs w:val="28"/>
        </w:rPr>
        <w:t>6</w:t>
      </w:r>
      <w:r w:rsidRPr="00A202EA">
        <w:rPr>
          <w:rFonts w:ascii="Times New Roman" w:hAnsi="Times New Roman" w:cs="Times New Roman"/>
          <w:sz w:val="28"/>
          <w:szCs w:val="28"/>
        </w:rPr>
        <w:t xml:space="preserve"> года и достигла 12</w:t>
      </w:r>
      <w:r w:rsidR="004D495D" w:rsidRPr="00A202EA">
        <w:rPr>
          <w:rFonts w:ascii="Times New Roman" w:hAnsi="Times New Roman" w:cs="Times New Roman"/>
          <w:sz w:val="28"/>
          <w:szCs w:val="28"/>
        </w:rPr>
        <w:t>5</w:t>
      </w:r>
      <w:r w:rsidRPr="00A202EA">
        <w:rPr>
          <w:rFonts w:ascii="Times New Roman" w:hAnsi="Times New Roman" w:cs="Times New Roman"/>
          <w:sz w:val="28"/>
          <w:szCs w:val="28"/>
        </w:rPr>
        <w:t>,</w:t>
      </w:r>
      <w:r w:rsidR="004D495D" w:rsidRPr="00A202EA">
        <w:rPr>
          <w:rFonts w:ascii="Times New Roman" w:hAnsi="Times New Roman" w:cs="Times New Roman"/>
          <w:sz w:val="28"/>
          <w:szCs w:val="28"/>
        </w:rPr>
        <w:t>5</w:t>
      </w:r>
      <w:r w:rsidRPr="00A202EA">
        <w:rPr>
          <w:rFonts w:ascii="Times New Roman" w:hAnsi="Times New Roman" w:cs="Times New Roman"/>
          <w:sz w:val="28"/>
          <w:szCs w:val="28"/>
        </w:rPr>
        <w:t xml:space="preserve"> тыс. чел. или </w:t>
      </w:r>
      <w:r w:rsidR="004D495D" w:rsidRPr="00A202EA">
        <w:rPr>
          <w:rFonts w:ascii="Times New Roman" w:hAnsi="Times New Roman" w:cs="Times New Roman"/>
          <w:sz w:val="28"/>
          <w:szCs w:val="28"/>
        </w:rPr>
        <w:t>32</w:t>
      </w:r>
      <w:r w:rsidRPr="00A202EA">
        <w:rPr>
          <w:rFonts w:ascii="Times New Roman" w:hAnsi="Times New Roman" w:cs="Times New Roman"/>
          <w:sz w:val="28"/>
          <w:szCs w:val="28"/>
        </w:rPr>
        <w:t>,2% от численности населения в трудоспособном возрасте, не занятого в экономике. В соответствии с прогнозными оценками численность обучающихся будет постепенно увеличиваться в связи с увеличением численности населения, вступающего в трудоспособный возраст, и к 202</w:t>
      </w:r>
      <w:r w:rsidR="004D495D" w:rsidRPr="00A202EA">
        <w:rPr>
          <w:rFonts w:ascii="Times New Roman" w:hAnsi="Times New Roman" w:cs="Times New Roman"/>
          <w:sz w:val="28"/>
          <w:szCs w:val="28"/>
        </w:rPr>
        <w:t>1</w:t>
      </w:r>
      <w:r w:rsidRPr="00A202EA">
        <w:rPr>
          <w:rFonts w:ascii="Times New Roman" w:hAnsi="Times New Roman" w:cs="Times New Roman"/>
          <w:sz w:val="28"/>
          <w:szCs w:val="28"/>
        </w:rPr>
        <w:t xml:space="preserve"> году составит 1</w:t>
      </w:r>
      <w:r w:rsidR="004D495D" w:rsidRPr="00A202EA">
        <w:rPr>
          <w:rFonts w:ascii="Times New Roman" w:hAnsi="Times New Roman" w:cs="Times New Roman"/>
          <w:sz w:val="28"/>
          <w:szCs w:val="28"/>
        </w:rPr>
        <w:t>3</w:t>
      </w:r>
      <w:r w:rsidR="00A202EA" w:rsidRPr="00A202EA">
        <w:rPr>
          <w:rFonts w:ascii="Times New Roman" w:hAnsi="Times New Roman" w:cs="Times New Roman"/>
          <w:sz w:val="28"/>
          <w:szCs w:val="28"/>
        </w:rPr>
        <w:t>2</w:t>
      </w:r>
      <w:r w:rsidRPr="00A202EA">
        <w:rPr>
          <w:rFonts w:ascii="Times New Roman" w:hAnsi="Times New Roman" w:cs="Times New Roman"/>
          <w:sz w:val="28"/>
          <w:szCs w:val="28"/>
        </w:rPr>
        <w:t xml:space="preserve"> тыс. человек. </w:t>
      </w:r>
    </w:p>
    <w:p w:rsidR="001E7ACA" w:rsidRPr="00CA32A7" w:rsidRDefault="001E7ACA" w:rsidP="001E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202">
        <w:rPr>
          <w:rFonts w:ascii="Times New Roman" w:hAnsi="Times New Roman" w:cs="Times New Roman"/>
          <w:sz w:val="28"/>
          <w:szCs w:val="28"/>
        </w:rPr>
        <w:t xml:space="preserve">         Важной составляющей численности населения, не занятого в экономике, являются официально зарегистрированные безработные. За 2017 год среднегодовой показатель численности</w:t>
      </w:r>
      <w:r w:rsidRPr="00804202">
        <w:rPr>
          <w:sz w:val="28"/>
          <w:szCs w:val="28"/>
        </w:rPr>
        <w:t xml:space="preserve"> </w:t>
      </w:r>
      <w:r w:rsidRPr="00804202">
        <w:rPr>
          <w:rFonts w:ascii="Times New Roman" w:hAnsi="Times New Roman" w:cs="Times New Roman"/>
          <w:sz w:val="28"/>
          <w:szCs w:val="28"/>
        </w:rPr>
        <w:t>безработных граждан, зарегистрированных в центрах занятости населения Новосибирской области, составил 14,5 тыс. человек, что на 2,5 тыс. человек меньше, чем в 2016 году. В 2018</w:t>
      </w:r>
      <w:r w:rsidR="001D7C56" w:rsidRPr="00804202">
        <w:rPr>
          <w:rFonts w:ascii="Times New Roman" w:hAnsi="Times New Roman" w:cs="Times New Roman"/>
          <w:sz w:val="28"/>
          <w:szCs w:val="28"/>
        </w:rPr>
        <w:t xml:space="preserve"> </w:t>
      </w:r>
      <w:r w:rsidR="00385C2C" w:rsidRPr="00804202">
        <w:rPr>
          <w:rFonts w:ascii="Times New Roman" w:hAnsi="Times New Roman" w:cs="Times New Roman"/>
          <w:sz w:val="28"/>
          <w:szCs w:val="28"/>
        </w:rPr>
        <w:t>-</w:t>
      </w:r>
      <w:r w:rsidR="001D7C56" w:rsidRPr="00804202">
        <w:rPr>
          <w:rFonts w:ascii="Times New Roman" w:hAnsi="Times New Roman" w:cs="Times New Roman"/>
          <w:sz w:val="28"/>
          <w:szCs w:val="28"/>
        </w:rPr>
        <w:t xml:space="preserve"> </w:t>
      </w:r>
      <w:r w:rsidR="00385C2C" w:rsidRPr="00804202">
        <w:rPr>
          <w:rFonts w:ascii="Times New Roman" w:hAnsi="Times New Roman" w:cs="Times New Roman"/>
          <w:sz w:val="28"/>
          <w:szCs w:val="28"/>
        </w:rPr>
        <w:t xml:space="preserve">2019 </w:t>
      </w:r>
      <w:r w:rsidRPr="00804202">
        <w:rPr>
          <w:rFonts w:ascii="Times New Roman" w:hAnsi="Times New Roman" w:cs="Times New Roman"/>
          <w:sz w:val="28"/>
          <w:szCs w:val="28"/>
        </w:rPr>
        <w:t xml:space="preserve"> год</w:t>
      </w:r>
      <w:r w:rsidR="00385C2C" w:rsidRPr="00804202">
        <w:rPr>
          <w:rFonts w:ascii="Times New Roman" w:hAnsi="Times New Roman" w:cs="Times New Roman"/>
          <w:sz w:val="28"/>
          <w:szCs w:val="28"/>
        </w:rPr>
        <w:t>ах</w:t>
      </w:r>
      <w:r w:rsidRPr="00804202">
        <w:rPr>
          <w:rFonts w:ascii="Times New Roman" w:hAnsi="Times New Roman"/>
          <w:sz w:val="28"/>
          <w:szCs w:val="28"/>
        </w:rPr>
        <w:t xml:space="preserve"> ожидается увеличение  численности безработных граждан</w:t>
      </w:r>
      <w:r w:rsidR="001D7C56" w:rsidRPr="00804202">
        <w:rPr>
          <w:rFonts w:ascii="Times New Roman" w:hAnsi="Times New Roman"/>
          <w:sz w:val="28"/>
          <w:szCs w:val="28"/>
        </w:rPr>
        <w:t>:</w:t>
      </w:r>
      <w:r w:rsidRPr="00804202">
        <w:rPr>
          <w:rFonts w:ascii="Times New Roman" w:hAnsi="Times New Roman"/>
          <w:sz w:val="28"/>
          <w:szCs w:val="28"/>
        </w:rPr>
        <w:t xml:space="preserve"> </w:t>
      </w:r>
      <w:r w:rsidR="00AC1D04">
        <w:rPr>
          <w:rFonts w:ascii="Times New Roman" w:hAnsi="Times New Roman"/>
          <w:sz w:val="28"/>
          <w:szCs w:val="28"/>
        </w:rPr>
        <w:t xml:space="preserve">    </w:t>
      </w:r>
      <w:r w:rsidR="001D7C56" w:rsidRPr="00804202">
        <w:rPr>
          <w:rFonts w:ascii="Times New Roman" w:hAnsi="Times New Roman"/>
          <w:sz w:val="28"/>
          <w:szCs w:val="28"/>
        </w:rPr>
        <w:t xml:space="preserve">16 тыс. человек и 17,8 </w:t>
      </w:r>
      <w:r w:rsidRPr="00804202">
        <w:rPr>
          <w:rFonts w:ascii="Times New Roman" w:hAnsi="Times New Roman"/>
          <w:sz w:val="28"/>
          <w:szCs w:val="28"/>
        </w:rPr>
        <w:t>тыс. человек</w:t>
      </w:r>
      <w:r w:rsidR="001D7C56" w:rsidRPr="00804202">
        <w:rPr>
          <w:rFonts w:ascii="Times New Roman" w:hAnsi="Times New Roman"/>
          <w:sz w:val="28"/>
          <w:szCs w:val="28"/>
        </w:rPr>
        <w:t xml:space="preserve"> соответственно</w:t>
      </w:r>
      <w:r w:rsidRPr="00804202">
        <w:rPr>
          <w:rFonts w:ascii="Times New Roman" w:hAnsi="Times New Roman"/>
          <w:sz w:val="28"/>
          <w:szCs w:val="28"/>
        </w:rPr>
        <w:t xml:space="preserve">. </w:t>
      </w:r>
      <w:r w:rsidR="001D7C56" w:rsidRPr="00804202">
        <w:rPr>
          <w:rFonts w:ascii="Times New Roman" w:hAnsi="Times New Roman"/>
          <w:sz w:val="28"/>
          <w:szCs w:val="28"/>
        </w:rPr>
        <w:t>В 2020</w:t>
      </w:r>
      <w:r w:rsidR="00804202">
        <w:rPr>
          <w:rFonts w:ascii="Times New Roman" w:hAnsi="Times New Roman"/>
          <w:sz w:val="28"/>
          <w:szCs w:val="28"/>
        </w:rPr>
        <w:t xml:space="preserve"> </w:t>
      </w:r>
      <w:r w:rsidR="001D7C56" w:rsidRPr="00FC0E8B">
        <w:rPr>
          <w:rFonts w:ascii="Times New Roman" w:hAnsi="Times New Roman"/>
          <w:sz w:val="28"/>
          <w:szCs w:val="28"/>
        </w:rPr>
        <w:t>-</w:t>
      </w:r>
      <w:r w:rsidR="00804202">
        <w:rPr>
          <w:rFonts w:ascii="Times New Roman" w:hAnsi="Times New Roman"/>
          <w:sz w:val="28"/>
          <w:szCs w:val="28"/>
        </w:rPr>
        <w:t xml:space="preserve"> </w:t>
      </w:r>
      <w:r w:rsidR="001D7C56" w:rsidRPr="00FC0E8B">
        <w:rPr>
          <w:rFonts w:ascii="Times New Roman" w:hAnsi="Times New Roman"/>
          <w:sz w:val="28"/>
          <w:szCs w:val="28"/>
        </w:rPr>
        <w:t xml:space="preserve">2021 годах в условиях динамичного экономического роста, а также  за счет сокращения времени поиска работы в результате широкого распространения и активного использования </w:t>
      </w:r>
      <w:proofErr w:type="gramStart"/>
      <w:r w:rsidR="001D7C56" w:rsidRPr="00FC0E8B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="0002112E">
        <w:rPr>
          <w:rFonts w:ascii="Times New Roman" w:hAnsi="Times New Roman"/>
          <w:sz w:val="28"/>
          <w:szCs w:val="28"/>
        </w:rPr>
        <w:t>,</w:t>
      </w:r>
      <w:r w:rsidR="00804202">
        <w:rPr>
          <w:rFonts w:ascii="Times New Roman" w:hAnsi="Times New Roman"/>
          <w:sz w:val="28"/>
          <w:szCs w:val="28"/>
        </w:rPr>
        <w:t xml:space="preserve"> численность безработных граждан</w:t>
      </w:r>
      <w:r w:rsidR="001D7C56" w:rsidRPr="00FC0E8B">
        <w:rPr>
          <w:rFonts w:ascii="Times New Roman" w:hAnsi="Times New Roman"/>
          <w:sz w:val="28"/>
          <w:szCs w:val="28"/>
        </w:rPr>
        <w:t xml:space="preserve"> будет снижаться</w:t>
      </w:r>
      <w:r w:rsidR="00804202">
        <w:rPr>
          <w:rFonts w:ascii="Times New Roman" w:hAnsi="Times New Roman"/>
          <w:sz w:val="28"/>
          <w:szCs w:val="28"/>
        </w:rPr>
        <w:t xml:space="preserve"> и</w:t>
      </w:r>
      <w:r w:rsidR="001D7C56" w:rsidRPr="00FC0E8B">
        <w:rPr>
          <w:rFonts w:ascii="Times New Roman" w:hAnsi="Times New Roman"/>
          <w:sz w:val="28"/>
          <w:szCs w:val="28"/>
        </w:rPr>
        <w:t xml:space="preserve"> к 2021 году составит </w:t>
      </w:r>
      <w:r w:rsidR="00804202">
        <w:rPr>
          <w:rFonts w:ascii="Times New Roman" w:hAnsi="Times New Roman"/>
          <w:sz w:val="28"/>
          <w:szCs w:val="28"/>
        </w:rPr>
        <w:t xml:space="preserve">14,3 тыс. человек. </w:t>
      </w:r>
    </w:p>
    <w:p w:rsidR="001E7ACA" w:rsidRPr="00804202" w:rsidRDefault="004D495D" w:rsidP="001E7A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1E7ACA" w:rsidRPr="00804202">
        <w:rPr>
          <w:sz w:val="28"/>
          <w:szCs w:val="28"/>
        </w:rPr>
        <w:t xml:space="preserve">Численность прочих категорий населения в трудоспособном возрасте, не занятого в экономике (военнослужащие (призванные на военную службу и лица, поступившие на военную службу по контракту, ранее постоянно проживавших в Новосибирской области); </w:t>
      </w:r>
      <w:r w:rsidR="002A1154">
        <w:rPr>
          <w:sz w:val="28"/>
          <w:szCs w:val="28"/>
        </w:rPr>
        <w:t>граждане</w:t>
      </w:r>
      <w:r w:rsidR="001E7ACA" w:rsidRPr="00804202">
        <w:rPr>
          <w:sz w:val="28"/>
          <w:szCs w:val="28"/>
        </w:rPr>
        <w:t>, не имеющие работы, готовые приступить к ней и занимающиеся поиском работы самостоятельно, без обращения в учреждения занятости населения;</w:t>
      </w:r>
      <w:proofErr w:type="gramEnd"/>
      <w:r w:rsidR="001E7ACA" w:rsidRPr="00804202">
        <w:rPr>
          <w:sz w:val="28"/>
          <w:szCs w:val="28"/>
        </w:rPr>
        <w:t xml:space="preserve"> </w:t>
      </w:r>
      <w:proofErr w:type="gramStart"/>
      <w:r w:rsidR="002A1154">
        <w:rPr>
          <w:sz w:val="28"/>
          <w:szCs w:val="28"/>
        </w:rPr>
        <w:t>граждане</w:t>
      </w:r>
      <w:r w:rsidR="001E7ACA" w:rsidRPr="00804202">
        <w:rPr>
          <w:sz w:val="28"/>
          <w:szCs w:val="28"/>
        </w:rPr>
        <w:t xml:space="preserve">, находящиеся в отпусках по беременности и родам и по уходу за ребенком до достижения им возраста трех лет; </w:t>
      </w:r>
      <w:r w:rsidR="002A1154">
        <w:rPr>
          <w:sz w:val="28"/>
          <w:szCs w:val="28"/>
        </w:rPr>
        <w:t>граждане</w:t>
      </w:r>
      <w:r w:rsidR="001E7ACA" w:rsidRPr="00804202">
        <w:rPr>
          <w:sz w:val="28"/>
          <w:szCs w:val="28"/>
        </w:rPr>
        <w:t xml:space="preserve">, выполняющие домашние обязанности, осуществляющие уход за детьми и другими членами семьи;  неработающие </w:t>
      </w:r>
      <w:r w:rsidR="002A1154">
        <w:rPr>
          <w:sz w:val="28"/>
          <w:szCs w:val="28"/>
        </w:rPr>
        <w:t>граждане</w:t>
      </w:r>
      <w:r w:rsidR="001E7ACA" w:rsidRPr="00804202">
        <w:rPr>
          <w:sz w:val="28"/>
          <w:szCs w:val="28"/>
        </w:rPr>
        <w:t xml:space="preserve">, находящиеся в местах лишения свободы, ранее постоянно проживавшие  в Новосибирской области) </w:t>
      </w:r>
      <w:r w:rsidRPr="00804202">
        <w:rPr>
          <w:sz w:val="28"/>
          <w:szCs w:val="28"/>
        </w:rPr>
        <w:t>снизи</w:t>
      </w:r>
      <w:r w:rsidR="001E7ACA" w:rsidRPr="00804202">
        <w:rPr>
          <w:sz w:val="28"/>
          <w:szCs w:val="28"/>
        </w:rPr>
        <w:t>лась в 201</w:t>
      </w:r>
      <w:r w:rsidRPr="00804202">
        <w:rPr>
          <w:sz w:val="28"/>
          <w:szCs w:val="28"/>
        </w:rPr>
        <w:t>7</w:t>
      </w:r>
      <w:r w:rsidR="001E7ACA" w:rsidRPr="00804202">
        <w:rPr>
          <w:sz w:val="28"/>
          <w:szCs w:val="28"/>
        </w:rPr>
        <w:t xml:space="preserve"> году на </w:t>
      </w:r>
      <w:r w:rsidRPr="00804202">
        <w:rPr>
          <w:sz w:val="28"/>
          <w:szCs w:val="28"/>
        </w:rPr>
        <w:t>1</w:t>
      </w:r>
      <w:r w:rsidR="001E7ACA" w:rsidRPr="00804202">
        <w:rPr>
          <w:sz w:val="28"/>
          <w:szCs w:val="28"/>
        </w:rPr>
        <w:t>1,</w:t>
      </w:r>
      <w:r w:rsidRPr="00804202">
        <w:rPr>
          <w:sz w:val="28"/>
          <w:szCs w:val="28"/>
        </w:rPr>
        <w:t>4</w:t>
      </w:r>
      <w:r w:rsidR="001E7ACA" w:rsidRPr="00804202">
        <w:rPr>
          <w:sz w:val="28"/>
          <w:szCs w:val="28"/>
        </w:rPr>
        <w:t>% и составила 2</w:t>
      </w:r>
      <w:r w:rsidRPr="00804202">
        <w:rPr>
          <w:sz w:val="28"/>
          <w:szCs w:val="28"/>
        </w:rPr>
        <w:t>49</w:t>
      </w:r>
      <w:r w:rsidR="001E7ACA" w:rsidRPr="00804202">
        <w:rPr>
          <w:sz w:val="28"/>
          <w:szCs w:val="28"/>
        </w:rPr>
        <w:t>,6 тыс. человек. </w:t>
      </w:r>
      <w:proofErr w:type="gramEnd"/>
    </w:p>
    <w:p w:rsidR="001E7ACA" w:rsidRDefault="001E7ACA" w:rsidP="001E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202">
        <w:rPr>
          <w:rFonts w:ascii="Times New Roman" w:hAnsi="Times New Roman" w:cs="Times New Roman"/>
          <w:sz w:val="28"/>
          <w:szCs w:val="28"/>
        </w:rPr>
        <w:t>Структура прочих категорий населения в трудоспособном возрасте, не занятых в экономике, выглядит следующим образом (диаграмма 6).</w:t>
      </w:r>
    </w:p>
    <w:p w:rsidR="00C90E22" w:rsidRDefault="00C90E22" w:rsidP="00C90E22">
      <w:pPr>
        <w:tabs>
          <w:tab w:val="left" w:pos="284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EE3440" wp14:editId="7D47307C">
            <wp:extent cx="5978324" cy="4259484"/>
            <wp:effectExtent l="0" t="0" r="381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7ACA" w:rsidRPr="00CA32A7" w:rsidRDefault="001E7ACA" w:rsidP="001E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BC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прогнозной оценке, численность прочих категорий населения в трудоспособном возрасте, не занятых в экономике, в среднесрочной перспективе будет снижаться. </w:t>
      </w:r>
      <w:r w:rsidRPr="00A93BC7">
        <w:rPr>
          <w:rFonts w:ascii="Times New Roman" w:hAnsi="Times New Roman" w:cs="Times New Roman"/>
          <w:sz w:val="28"/>
          <w:szCs w:val="28"/>
        </w:rPr>
        <w:t>В 201</w:t>
      </w:r>
      <w:r w:rsidR="004D495D" w:rsidRPr="00A93BC7">
        <w:rPr>
          <w:rFonts w:ascii="Times New Roman" w:hAnsi="Times New Roman" w:cs="Times New Roman"/>
          <w:sz w:val="28"/>
          <w:szCs w:val="28"/>
        </w:rPr>
        <w:t>8</w:t>
      </w:r>
      <w:r w:rsidRPr="00A93BC7">
        <w:rPr>
          <w:rFonts w:ascii="Times New Roman" w:hAnsi="Times New Roman" w:cs="Times New Roman"/>
          <w:sz w:val="28"/>
          <w:szCs w:val="28"/>
        </w:rPr>
        <w:t xml:space="preserve"> году численность прочих категорий населения составит 2</w:t>
      </w:r>
      <w:r w:rsidR="00A93BC7" w:rsidRPr="00A93BC7">
        <w:rPr>
          <w:rFonts w:ascii="Times New Roman" w:hAnsi="Times New Roman" w:cs="Times New Roman"/>
          <w:sz w:val="28"/>
          <w:szCs w:val="28"/>
        </w:rPr>
        <w:t>29</w:t>
      </w:r>
      <w:r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6</w:t>
      </w:r>
      <w:r w:rsidRPr="00A93BC7">
        <w:rPr>
          <w:rFonts w:ascii="Times New Roman" w:hAnsi="Times New Roman" w:cs="Times New Roman"/>
          <w:sz w:val="28"/>
          <w:szCs w:val="28"/>
        </w:rPr>
        <w:t xml:space="preserve"> тыс. человек, или 1</w:t>
      </w:r>
      <w:r w:rsidR="0034328F" w:rsidRPr="00A93BC7">
        <w:rPr>
          <w:rFonts w:ascii="Times New Roman" w:hAnsi="Times New Roman" w:cs="Times New Roman"/>
          <w:sz w:val="28"/>
          <w:szCs w:val="28"/>
        </w:rPr>
        <w:t>3</w:t>
      </w:r>
      <w:r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4</w:t>
      </w:r>
      <w:r w:rsidRPr="00A93BC7">
        <w:rPr>
          <w:rFonts w:ascii="Times New Roman" w:hAnsi="Times New Roman" w:cs="Times New Roman"/>
          <w:sz w:val="28"/>
          <w:szCs w:val="28"/>
        </w:rPr>
        <w:t>% от численности трудовых ресурсов области. К 20</w:t>
      </w:r>
      <w:r w:rsidR="0034328F" w:rsidRPr="00A93BC7">
        <w:rPr>
          <w:rFonts w:ascii="Times New Roman" w:hAnsi="Times New Roman" w:cs="Times New Roman"/>
          <w:sz w:val="28"/>
          <w:szCs w:val="28"/>
        </w:rPr>
        <w:t>21</w:t>
      </w:r>
      <w:r w:rsidRPr="00A93BC7">
        <w:rPr>
          <w:rFonts w:ascii="Times New Roman" w:hAnsi="Times New Roman" w:cs="Times New Roman"/>
          <w:sz w:val="28"/>
          <w:szCs w:val="28"/>
        </w:rPr>
        <w:t xml:space="preserve"> году ожидается снижение численности данной категории населения до 2</w:t>
      </w:r>
      <w:r w:rsidR="0034328F" w:rsidRPr="00A93BC7">
        <w:rPr>
          <w:rFonts w:ascii="Times New Roman" w:hAnsi="Times New Roman" w:cs="Times New Roman"/>
          <w:sz w:val="28"/>
          <w:szCs w:val="28"/>
        </w:rPr>
        <w:t>1</w:t>
      </w:r>
      <w:r w:rsidR="00A93BC7" w:rsidRPr="00A93BC7">
        <w:rPr>
          <w:rFonts w:ascii="Times New Roman" w:hAnsi="Times New Roman" w:cs="Times New Roman"/>
          <w:sz w:val="28"/>
          <w:szCs w:val="28"/>
        </w:rPr>
        <w:t>2</w:t>
      </w:r>
      <w:r w:rsidRPr="00A93BC7">
        <w:rPr>
          <w:rFonts w:ascii="Times New Roman" w:hAnsi="Times New Roman" w:cs="Times New Roman"/>
          <w:sz w:val="28"/>
          <w:szCs w:val="28"/>
        </w:rPr>
        <w:t xml:space="preserve"> тыс. человек, что составит 1</w:t>
      </w:r>
      <w:r w:rsidR="0034328F" w:rsidRPr="00A93BC7">
        <w:rPr>
          <w:rFonts w:ascii="Times New Roman" w:hAnsi="Times New Roman" w:cs="Times New Roman"/>
          <w:sz w:val="28"/>
          <w:szCs w:val="28"/>
        </w:rPr>
        <w:t>2</w:t>
      </w:r>
      <w:r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4</w:t>
      </w:r>
      <w:r w:rsidRPr="00A93BC7">
        <w:rPr>
          <w:rFonts w:ascii="Times New Roman" w:hAnsi="Times New Roman" w:cs="Times New Roman"/>
          <w:sz w:val="28"/>
          <w:szCs w:val="28"/>
        </w:rPr>
        <w:t>% от численности трудовых ресурсов.</w:t>
      </w:r>
      <w:r w:rsidRPr="00CA3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ACA" w:rsidRPr="00A93BC7" w:rsidRDefault="002A1154" w:rsidP="001E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1E7ACA" w:rsidRPr="00A93BC7">
        <w:rPr>
          <w:rFonts w:ascii="Times New Roman" w:hAnsi="Times New Roman" w:cs="Times New Roman"/>
          <w:sz w:val="28"/>
          <w:szCs w:val="28"/>
        </w:rPr>
        <w:t xml:space="preserve"> потенциально способных к участию в трудовой деятельности (не имеющих работы, готовых приступить к ней и занимающихся поиском работы самостоятельно, без обращения в центры занятости населения) </w:t>
      </w:r>
      <w:r w:rsidR="0028285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1E7ACA" w:rsidRPr="00A93BC7">
        <w:rPr>
          <w:rFonts w:ascii="Times New Roman" w:hAnsi="Times New Roman" w:cs="Times New Roman"/>
          <w:sz w:val="28"/>
          <w:szCs w:val="28"/>
        </w:rPr>
        <w:t>в 201</w:t>
      </w:r>
      <w:r w:rsidR="0034328F" w:rsidRPr="00A93BC7">
        <w:rPr>
          <w:rFonts w:ascii="Times New Roman" w:hAnsi="Times New Roman" w:cs="Times New Roman"/>
          <w:sz w:val="28"/>
          <w:szCs w:val="28"/>
        </w:rPr>
        <w:t>8</w:t>
      </w:r>
      <w:r w:rsidR="001E7ACA" w:rsidRPr="00A93BC7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34328F" w:rsidRPr="00A93BC7">
        <w:rPr>
          <w:rFonts w:ascii="Times New Roman" w:hAnsi="Times New Roman" w:cs="Times New Roman"/>
          <w:sz w:val="28"/>
          <w:szCs w:val="28"/>
        </w:rPr>
        <w:t>7</w:t>
      </w:r>
      <w:r w:rsidR="00A93BC7" w:rsidRPr="00A93BC7">
        <w:rPr>
          <w:rFonts w:ascii="Times New Roman" w:hAnsi="Times New Roman" w:cs="Times New Roman"/>
          <w:sz w:val="28"/>
          <w:szCs w:val="28"/>
        </w:rPr>
        <w:t>3</w:t>
      </w:r>
      <w:r w:rsidR="001E7ACA"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1</w:t>
      </w:r>
      <w:r w:rsidR="001E7ACA" w:rsidRPr="00A93BC7">
        <w:rPr>
          <w:rFonts w:ascii="Times New Roman" w:hAnsi="Times New Roman" w:cs="Times New Roman"/>
          <w:sz w:val="28"/>
          <w:szCs w:val="28"/>
        </w:rPr>
        <w:t xml:space="preserve"> тыс. человек, или 3</w:t>
      </w:r>
      <w:r w:rsidR="00A93BC7" w:rsidRPr="00A93BC7">
        <w:rPr>
          <w:rFonts w:ascii="Times New Roman" w:hAnsi="Times New Roman" w:cs="Times New Roman"/>
          <w:sz w:val="28"/>
          <w:szCs w:val="28"/>
        </w:rPr>
        <w:t>1</w:t>
      </w:r>
      <w:r w:rsidR="001E7ACA"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8</w:t>
      </w:r>
      <w:r w:rsidR="001E7ACA" w:rsidRPr="00A93BC7">
        <w:rPr>
          <w:rFonts w:ascii="Times New Roman" w:hAnsi="Times New Roman" w:cs="Times New Roman"/>
          <w:sz w:val="28"/>
          <w:szCs w:val="28"/>
        </w:rPr>
        <w:t>% численности прочих категорий населения в трудоспособном возрасте, не занятых в экономике. К 202</w:t>
      </w:r>
      <w:r w:rsidR="0034328F" w:rsidRPr="00A93BC7">
        <w:rPr>
          <w:rFonts w:ascii="Times New Roman" w:hAnsi="Times New Roman" w:cs="Times New Roman"/>
          <w:sz w:val="28"/>
          <w:szCs w:val="28"/>
        </w:rPr>
        <w:t>1</w:t>
      </w:r>
      <w:r w:rsidR="001E7ACA" w:rsidRPr="00A93BC7">
        <w:rPr>
          <w:rFonts w:ascii="Times New Roman" w:hAnsi="Times New Roman" w:cs="Times New Roman"/>
          <w:sz w:val="28"/>
          <w:szCs w:val="28"/>
        </w:rPr>
        <w:t xml:space="preserve"> году численность данной категории населения снизится до </w:t>
      </w:r>
      <w:r w:rsidR="00A93BC7" w:rsidRPr="00A93BC7">
        <w:rPr>
          <w:rFonts w:ascii="Times New Roman" w:hAnsi="Times New Roman" w:cs="Times New Roman"/>
          <w:sz w:val="28"/>
          <w:szCs w:val="28"/>
        </w:rPr>
        <w:t>56</w:t>
      </w:r>
      <w:r w:rsidR="001E7ACA"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8</w:t>
      </w:r>
      <w:r w:rsidR="001E7ACA" w:rsidRPr="00A93BC7">
        <w:rPr>
          <w:rFonts w:ascii="Times New Roman" w:hAnsi="Times New Roman" w:cs="Times New Roman"/>
          <w:sz w:val="28"/>
          <w:szCs w:val="28"/>
        </w:rPr>
        <w:t xml:space="preserve"> тыс. человек (до 2</w:t>
      </w:r>
      <w:r w:rsidR="00A93BC7" w:rsidRPr="00A93BC7">
        <w:rPr>
          <w:rFonts w:ascii="Times New Roman" w:hAnsi="Times New Roman" w:cs="Times New Roman"/>
          <w:sz w:val="28"/>
          <w:szCs w:val="28"/>
        </w:rPr>
        <w:t>6</w:t>
      </w:r>
      <w:r w:rsidR="001E7ACA"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8</w:t>
      </w:r>
      <w:r w:rsidR="001E7ACA" w:rsidRPr="00A93BC7">
        <w:rPr>
          <w:rFonts w:ascii="Times New Roman" w:hAnsi="Times New Roman" w:cs="Times New Roman"/>
          <w:sz w:val="28"/>
          <w:szCs w:val="28"/>
        </w:rPr>
        <w:t>%).</w:t>
      </w:r>
    </w:p>
    <w:p w:rsidR="001E7ACA" w:rsidRDefault="001E7ACA" w:rsidP="001E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BC7">
        <w:rPr>
          <w:rFonts w:ascii="Times New Roman" w:hAnsi="Times New Roman" w:cs="Times New Roman"/>
          <w:sz w:val="28"/>
          <w:szCs w:val="28"/>
        </w:rPr>
        <w:t>С учетом численности безработных граждан, зарегистрированных в центрах занятости и лиц, не имеющих работы, готовых приступить к ней и занимающихся поиском работы самостоятельно, численность  населения в трудоспособном возрасте, не занятого в экономике Новосибирской области составит в 201</w:t>
      </w:r>
      <w:r w:rsidR="0034328F" w:rsidRPr="00A93BC7">
        <w:rPr>
          <w:rFonts w:ascii="Times New Roman" w:hAnsi="Times New Roman" w:cs="Times New Roman"/>
          <w:sz w:val="28"/>
          <w:szCs w:val="28"/>
        </w:rPr>
        <w:t>8</w:t>
      </w:r>
      <w:r w:rsidRPr="00A93BC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3BC7" w:rsidRPr="00A93BC7">
        <w:rPr>
          <w:rFonts w:ascii="Times New Roman" w:hAnsi="Times New Roman" w:cs="Times New Roman"/>
          <w:sz w:val="28"/>
          <w:szCs w:val="28"/>
        </w:rPr>
        <w:t>89</w:t>
      </w:r>
      <w:r w:rsidR="0034328F"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1</w:t>
      </w:r>
      <w:r w:rsidRPr="00A93BC7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34328F" w:rsidRPr="00A93BC7">
        <w:rPr>
          <w:rFonts w:ascii="Times New Roman" w:hAnsi="Times New Roman" w:cs="Times New Roman"/>
          <w:sz w:val="28"/>
          <w:szCs w:val="28"/>
        </w:rPr>
        <w:t>5</w:t>
      </w:r>
      <w:r w:rsidRPr="00A93BC7">
        <w:rPr>
          <w:rFonts w:ascii="Times New Roman" w:hAnsi="Times New Roman" w:cs="Times New Roman"/>
          <w:sz w:val="28"/>
          <w:szCs w:val="28"/>
        </w:rPr>
        <w:t>,</w:t>
      </w:r>
      <w:r w:rsidR="00A93BC7" w:rsidRPr="00A93BC7">
        <w:rPr>
          <w:rFonts w:ascii="Times New Roman" w:hAnsi="Times New Roman" w:cs="Times New Roman"/>
          <w:sz w:val="28"/>
          <w:szCs w:val="28"/>
        </w:rPr>
        <w:t>2</w:t>
      </w:r>
      <w:r w:rsidRPr="00A93BC7">
        <w:rPr>
          <w:rFonts w:ascii="Times New Roman" w:hAnsi="Times New Roman" w:cs="Times New Roman"/>
          <w:sz w:val="28"/>
          <w:szCs w:val="28"/>
        </w:rPr>
        <w:t>% трудовых ресурсов региона). К 202</w:t>
      </w:r>
      <w:r w:rsidR="0034328F" w:rsidRPr="00A93BC7">
        <w:rPr>
          <w:rFonts w:ascii="Times New Roman" w:hAnsi="Times New Roman" w:cs="Times New Roman"/>
          <w:sz w:val="28"/>
          <w:szCs w:val="28"/>
        </w:rPr>
        <w:t>1</w:t>
      </w:r>
      <w:r w:rsidRPr="00A93BC7">
        <w:rPr>
          <w:rFonts w:ascii="Times New Roman" w:hAnsi="Times New Roman" w:cs="Times New Roman"/>
          <w:sz w:val="28"/>
          <w:szCs w:val="28"/>
        </w:rPr>
        <w:t xml:space="preserve"> году прогнозируется снижение уровня  показателя до 4,</w:t>
      </w:r>
      <w:r w:rsidR="00A93BC7" w:rsidRPr="00A93BC7">
        <w:rPr>
          <w:rFonts w:ascii="Times New Roman" w:hAnsi="Times New Roman" w:cs="Times New Roman"/>
          <w:sz w:val="28"/>
          <w:szCs w:val="28"/>
        </w:rPr>
        <w:t>2</w:t>
      </w:r>
      <w:r w:rsidRPr="00A93BC7">
        <w:rPr>
          <w:rFonts w:ascii="Times New Roman" w:hAnsi="Times New Roman" w:cs="Times New Roman"/>
          <w:sz w:val="28"/>
          <w:szCs w:val="28"/>
        </w:rPr>
        <w:t>% (диаграмма 7).</w:t>
      </w:r>
      <w:r w:rsidRPr="001C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ACA" w:rsidRDefault="00002585" w:rsidP="001E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56D4C3" wp14:editId="0A2D2B83">
            <wp:extent cx="5397500" cy="3587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84A40" w:rsidRPr="00CA32A7" w:rsidRDefault="0024539D" w:rsidP="001E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2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32A7" w:rsidRDefault="00CA32A7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F44" w:rsidRDefault="00D81F44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34B" w:rsidRDefault="00CD534B" w:rsidP="003E7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A965F8" w:rsidRDefault="00A965F8" w:rsidP="00E21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1B" w:rsidRDefault="00CD534B" w:rsidP="00636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34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D534B">
        <w:rPr>
          <w:rFonts w:ascii="Times New Roman" w:hAnsi="Times New Roman" w:cs="Times New Roman"/>
          <w:sz w:val="28"/>
          <w:szCs w:val="28"/>
        </w:rPr>
        <w:t>Проведенные расчеты формирования и распределения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34B">
        <w:rPr>
          <w:rFonts w:ascii="Times New Roman" w:hAnsi="Times New Roman" w:cs="Times New Roman"/>
          <w:sz w:val="28"/>
          <w:szCs w:val="28"/>
        </w:rPr>
        <w:t xml:space="preserve">ресурсов Новосибирской  </w:t>
      </w:r>
      <w:r w:rsidR="00A965F8" w:rsidRPr="00CD534B">
        <w:rPr>
          <w:rFonts w:ascii="Times New Roman" w:hAnsi="Times New Roman" w:cs="Times New Roman"/>
          <w:sz w:val="28"/>
          <w:szCs w:val="28"/>
        </w:rPr>
        <w:t>области</w:t>
      </w:r>
      <w:r w:rsidR="00A965F8" w:rsidRPr="008D592A">
        <w:rPr>
          <w:rFonts w:ascii="Times New Roman" w:hAnsi="Times New Roman" w:cs="Times New Roman"/>
          <w:sz w:val="28"/>
          <w:szCs w:val="28"/>
        </w:rPr>
        <w:t>,</w:t>
      </w:r>
      <w:r w:rsidR="0088288A" w:rsidRPr="008D592A">
        <w:rPr>
          <w:rFonts w:ascii="Times New Roman" w:hAnsi="Times New Roman" w:cs="Times New Roman"/>
          <w:sz w:val="28"/>
          <w:szCs w:val="28"/>
        </w:rPr>
        <w:t xml:space="preserve"> с учетом полученных о</w:t>
      </w:r>
      <w:r w:rsidRPr="008D592A">
        <w:rPr>
          <w:rFonts w:ascii="Times New Roman" w:hAnsi="Times New Roman" w:cs="Times New Roman"/>
          <w:sz w:val="28"/>
          <w:szCs w:val="28"/>
        </w:rPr>
        <w:t xml:space="preserve">т областных исполнительных органов государственной власти </w:t>
      </w:r>
      <w:r w:rsidR="00D81F4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D592A">
        <w:rPr>
          <w:rFonts w:ascii="Times New Roman" w:hAnsi="Times New Roman" w:cs="Times New Roman"/>
          <w:sz w:val="28"/>
          <w:szCs w:val="28"/>
        </w:rPr>
        <w:t>сведени</w:t>
      </w:r>
      <w:r w:rsidR="0088288A" w:rsidRPr="008D592A">
        <w:rPr>
          <w:rFonts w:ascii="Times New Roman" w:hAnsi="Times New Roman" w:cs="Times New Roman"/>
          <w:sz w:val="28"/>
          <w:szCs w:val="28"/>
        </w:rPr>
        <w:t>й</w:t>
      </w:r>
      <w:r w:rsidRPr="008D592A">
        <w:rPr>
          <w:rFonts w:ascii="Times New Roman" w:hAnsi="Times New Roman" w:cs="Times New Roman"/>
          <w:sz w:val="28"/>
          <w:szCs w:val="28"/>
        </w:rPr>
        <w:t xml:space="preserve"> о численности занятых в экономике в </w:t>
      </w:r>
      <w:r w:rsidR="00130390" w:rsidRPr="008D592A">
        <w:rPr>
          <w:rFonts w:ascii="Times New Roman" w:hAnsi="Times New Roman" w:cs="Times New Roman"/>
          <w:sz w:val="28"/>
          <w:szCs w:val="28"/>
        </w:rPr>
        <w:t>201</w:t>
      </w:r>
      <w:r w:rsidR="00002585">
        <w:rPr>
          <w:rFonts w:ascii="Times New Roman" w:hAnsi="Times New Roman" w:cs="Times New Roman"/>
          <w:sz w:val="28"/>
          <w:szCs w:val="28"/>
        </w:rPr>
        <w:t>8</w:t>
      </w:r>
      <w:r w:rsidR="00130390" w:rsidRPr="008D592A">
        <w:rPr>
          <w:rFonts w:ascii="Times New Roman" w:hAnsi="Times New Roman" w:cs="Times New Roman"/>
          <w:sz w:val="28"/>
          <w:szCs w:val="28"/>
        </w:rPr>
        <w:t xml:space="preserve"> </w:t>
      </w:r>
      <w:r w:rsidRPr="008D592A">
        <w:rPr>
          <w:rFonts w:ascii="Times New Roman" w:hAnsi="Times New Roman" w:cs="Times New Roman"/>
          <w:sz w:val="28"/>
          <w:szCs w:val="28"/>
        </w:rPr>
        <w:t>году и в прогнозируемом периоде</w:t>
      </w:r>
      <w:r w:rsidR="00A965F8" w:rsidRPr="008D592A">
        <w:rPr>
          <w:rFonts w:ascii="Times New Roman" w:hAnsi="Times New Roman" w:cs="Times New Roman"/>
          <w:sz w:val="28"/>
          <w:szCs w:val="28"/>
        </w:rPr>
        <w:t xml:space="preserve"> 201</w:t>
      </w:r>
      <w:r w:rsidR="00002585">
        <w:rPr>
          <w:rFonts w:ascii="Times New Roman" w:hAnsi="Times New Roman" w:cs="Times New Roman"/>
          <w:sz w:val="28"/>
          <w:szCs w:val="28"/>
        </w:rPr>
        <w:t>9</w:t>
      </w:r>
      <w:r w:rsidR="00A965F8" w:rsidRPr="008D592A">
        <w:rPr>
          <w:rFonts w:ascii="Times New Roman" w:hAnsi="Times New Roman" w:cs="Times New Roman"/>
          <w:sz w:val="28"/>
          <w:szCs w:val="28"/>
        </w:rPr>
        <w:t>-20</w:t>
      </w:r>
      <w:r w:rsidR="00BF56C1">
        <w:rPr>
          <w:rFonts w:ascii="Times New Roman" w:hAnsi="Times New Roman" w:cs="Times New Roman"/>
          <w:sz w:val="28"/>
          <w:szCs w:val="28"/>
        </w:rPr>
        <w:t>2</w:t>
      </w:r>
      <w:r w:rsidR="00002585">
        <w:rPr>
          <w:rFonts w:ascii="Times New Roman" w:hAnsi="Times New Roman" w:cs="Times New Roman"/>
          <w:sz w:val="28"/>
          <w:szCs w:val="28"/>
        </w:rPr>
        <w:t>1</w:t>
      </w:r>
      <w:r w:rsidR="00CE1352" w:rsidRPr="008D592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95D61" w:rsidRPr="008D592A">
        <w:rPr>
          <w:rFonts w:ascii="Times New Roman" w:hAnsi="Times New Roman" w:cs="Times New Roman"/>
          <w:sz w:val="28"/>
          <w:szCs w:val="28"/>
        </w:rPr>
        <w:t>,</w:t>
      </w:r>
      <w:r w:rsidRPr="008D592A">
        <w:rPr>
          <w:rFonts w:ascii="Times New Roman" w:hAnsi="Times New Roman" w:cs="Times New Roman"/>
          <w:sz w:val="28"/>
          <w:szCs w:val="28"/>
        </w:rPr>
        <w:t xml:space="preserve"> свидетельствуют о том, </w:t>
      </w:r>
      <w:r w:rsidR="001341FD" w:rsidRPr="008D592A">
        <w:rPr>
          <w:rFonts w:ascii="Times New Roman" w:hAnsi="Times New Roman" w:cs="Times New Roman"/>
          <w:sz w:val="28"/>
          <w:szCs w:val="28"/>
        </w:rPr>
        <w:t>что,</w:t>
      </w:r>
      <w:r w:rsidRPr="008D592A">
        <w:rPr>
          <w:rFonts w:ascii="Times New Roman" w:hAnsi="Times New Roman" w:cs="Times New Roman"/>
          <w:sz w:val="28"/>
          <w:szCs w:val="28"/>
        </w:rPr>
        <w:t xml:space="preserve"> несмотря на сложившуюся регрессивную возрастную структуру населения с </w:t>
      </w:r>
      <w:r w:rsidR="00510644" w:rsidRPr="008D592A">
        <w:rPr>
          <w:rFonts w:ascii="Times New Roman" w:hAnsi="Times New Roman" w:cs="Times New Roman"/>
          <w:sz w:val="28"/>
          <w:szCs w:val="28"/>
        </w:rPr>
        <w:t xml:space="preserve">ежегодным снижением </w:t>
      </w:r>
      <w:r w:rsidRPr="008D592A">
        <w:rPr>
          <w:rFonts w:ascii="Times New Roman" w:hAnsi="Times New Roman" w:cs="Times New Roman"/>
          <w:sz w:val="28"/>
          <w:szCs w:val="28"/>
        </w:rPr>
        <w:t>численност</w:t>
      </w:r>
      <w:r w:rsidR="00510644" w:rsidRPr="008D592A">
        <w:rPr>
          <w:rFonts w:ascii="Times New Roman" w:hAnsi="Times New Roman" w:cs="Times New Roman"/>
          <w:sz w:val="28"/>
          <w:szCs w:val="28"/>
        </w:rPr>
        <w:t>и</w:t>
      </w:r>
      <w:r w:rsidRPr="008D592A">
        <w:rPr>
          <w:rFonts w:ascii="Times New Roman" w:hAnsi="Times New Roman" w:cs="Times New Roman"/>
          <w:sz w:val="28"/>
          <w:szCs w:val="28"/>
        </w:rPr>
        <w:t xml:space="preserve"> и дол</w:t>
      </w:r>
      <w:r w:rsidR="00510644" w:rsidRPr="008D592A">
        <w:rPr>
          <w:rFonts w:ascii="Times New Roman" w:hAnsi="Times New Roman" w:cs="Times New Roman"/>
          <w:sz w:val="28"/>
          <w:szCs w:val="28"/>
        </w:rPr>
        <w:t>и</w:t>
      </w:r>
      <w:r w:rsidRPr="008D592A">
        <w:rPr>
          <w:rFonts w:ascii="Times New Roman" w:hAnsi="Times New Roman" w:cs="Times New Roman"/>
          <w:sz w:val="28"/>
          <w:szCs w:val="28"/>
        </w:rPr>
        <w:t xml:space="preserve"> населения в трудоспособном возрасте</w:t>
      </w:r>
      <w:r w:rsidR="00E0322F" w:rsidRPr="008D592A">
        <w:rPr>
          <w:rFonts w:ascii="Times New Roman" w:hAnsi="Times New Roman" w:cs="Times New Roman"/>
          <w:sz w:val="28"/>
          <w:szCs w:val="28"/>
        </w:rPr>
        <w:t>,</w:t>
      </w:r>
      <w:r w:rsidR="0063643A" w:rsidRPr="008D592A">
        <w:rPr>
          <w:rFonts w:ascii="Times New Roman" w:hAnsi="Times New Roman" w:cs="Times New Roman"/>
          <w:sz w:val="28"/>
          <w:szCs w:val="28"/>
        </w:rPr>
        <w:t xml:space="preserve"> т</w:t>
      </w:r>
      <w:r w:rsidR="000A2BE3" w:rsidRPr="008D592A">
        <w:rPr>
          <w:rFonts w:ascii="Times New Roman" w:hAnsi="Times New Roman" w:cs="Times New Roman"/>
          <w:sz w:val="28"/>
          <w:szCs w:val="28"/>
        </w:rPr>
        <w:t>рудовые ресурсы региона будут</w:t>
      </w:r>
      <w:proofErr w:type="gramEnd"/>
      <w:r w:rsidR="000A2BE3" w:rsidRPr="008D592A">
        <w:rPr>
          <w:rFonts w:ascii="Times New Roman" w:hAnsi="Times New Roman" w:cs="Times New Roman"/>
          <w:sz w:val="28"/>
          <w:szCs w:val="28"/>
        </w:rPr>
        <w:t xml:space="preserve"> восполняться за счет местных трудовых ресурсов</w:t>
      </w:r>
      <w:r w:rsidR="00DD4C41" w:rsidRPr="008D592A">
        <w:rPr>
          <w:rFonts w:ascii="Times New Roman" w:hAnsi="Times New Roman" w:cs="Times New Roman"/>
          <w:sz w:val="28"/>
          <w:szCs w:val="28"/>
        </w:rPr>
        <w:t xml:space="preserve"> </w:t>
      </w:r>
      <w:r w:rsidR="00EC1EEC">
        <w:rPr>
          <w:rFonts w:ascii="Times New Roman" w:hAnsi="Times New Roman" w:cs="Times New Roman"/>
          <w:sz w:val="28"/>
          <w:szCs w:val="28"/>
        </w:rPr>
        <w:t>путем</w:t>
      </w:r>
      <w:r w:rsidR="00DD4C41" w:rsidRPr="008D592A">
        <w:rPr>
          <w:rFonts w:ascii="Times New Roman" w:hAnsi="Times New Roman" w:cs="Times New Roman"/>
          <w:sz w:val="28"/>
          <w:szCs w:val="28"/>
        </w:rPr>
        <w:t xml:space="preserve"> </w:t>
      </w:r>
      <w:r w:rsidR="000A2BE3" w:rsidRPr="008D592A">
        <w:rPr>
          <w:rFonts w:ascii="Times New Roman" w:hAnsi="Times New Roman" w:cs="Times New Roman"/>
          <w:sz w:val="28"/>
          <w:szCs w:val="28"/>
        </w:rPr>
        <w:t>активного</w:t>
      </w:r>
      <w:r w:rsidR="00375B95" w:rsidRPr="008D592A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 w:rsidR="00375B95">
        <w:rPr>
          <w:rFonts w:ascii="Times New Roman" w:hAnsi="Times New Roman" w:cs="Times New Roman"/>
          <w:sz w:val="28"/>
          <w:szCs w:val="28"/>
        </w:rPr>
        <w:t xml:space="preserve"> к трудовой деятельности инвалидов, женщин, имеющих малолетних детей, граждан </w:t>
      </w:r>
      <w:proofErr w:type="spellStart"/>
      <w:r w:rsidR="00375B9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75B95">
        <w:rPr>
          <w:rFonts w:ascii="Times New Roman" w:hAnsi="Times New Roman" w:cs="Times New Roman"/>
          <w:sz w:val="28"/>
          <w:szCs w:val="28"/>
        </w:rPr>
        <w:t xml:space="preserve"> и пенсионного возраста, а также за счет привлечения специалистов из других регионов, развития внутренней трудовой миграции и привлечения на постоянное место жительства соотечественников</w:t>
      </w:r>
      <w:r w:rsidR="00A62B3D">
        <w:rPr>
          <w:rFonts w:ascii="Times New Roman" w:hAnsi="Times New Roman" w:cs="Times New Roman"/>
          <w:sz w:val="28"/>
          <w:szCs w:val="28"/>
        </w:rPr>
        <w:t>,</w:t>
      </w:r>
      <w:r w:rsidR="00375B95">
        <w:rPr>
          <w:rFonts w:ascii="Times New Roman" w:hAnsi="Times New Roman" w:cs="Times New Roman"/>
          <w:sz w:val="28"/>
          <w:szCs w:val="28"/>
        </w:rPr>
        <w:t xml:space="preserve"> проживающих за рубежом.</w:t>
      </w:r>
    </w:p>
    <w:p w:rsidR="0063643A" w:rsidRDefault="00A600BE" w:rsidP="00636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643A" w:rsidRP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баланса трудовых ресурсов Новосибирской области на 201</w:t>
      </w:r>
      <w:r w:rsidR="0000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3643A" w:rsidRP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прогнозе на 20</w:t>
      </w:r>
      <w:r w:rsidR="0000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E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D61" w:rsidRP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43A" w:rsidRP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F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643A" w:rsidRP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</w:t>
      </w:r>
      <w:r w:rsidR="00CB5300" w:rsidRP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выявлены </w:t>
      </w:r>
      <w:r w:rsidR="0063643A" w:rsidRPr="008D5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тенденции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66FB" w:rsidRDefault="00831555" w:rsidP="002C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численности населения, обусловленное </w:t>
      </w:r>
      <w:r w:rsidR="0063643A" w:rsidRPr="001105CF">
        <w:rPr>
          <w:rFonts w:ascii="Times New Roman" w:hAnsi="Times New Roman" w:cs="Times New Roman"/>
          <w:sz w:val="28"/>
          <w:szCs w:val="28"/>
        </w:rPr>
        <w:t>миграционным притоком в регион</w:t>
      </w:r>
      <w:r w:rsidR="0063643A">
        <w:rPr>
          <w:rFonts w:ascii="Times New Roman" w:hAnsi="Times New Roman" w:cs="Times New Roman"/>
          <w:sz w:val="28"/>
          <w:szCs w:val="28"/>
        </w:rPr>
        <w:t>;</w:t>
      </w:r>
    </w:p>
    <w:p w:rsidR="00604752" w:rsidRDefault="00831555" w:rsidP="002C3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</w:t>
      </w:r>
      <w:r w:rsid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численности населения в трудоспособном возрасте </w:t>
      </w:r>
      <w:r w:rsidR="0060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замедлением темпов </w:t>
      </w:r>
      <w:r w:rsidR="009E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</w:t>
      </w:r>
      <w:r w:rsidR="00604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461B64" w:rsidRDefault="00831555" w:rsidP="008D59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 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</w:t>
      </w:r>
      <w:r w:rsid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трудовых мигрантов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592A" w:rsidRDefault="00CC04E4" w:rsidP="008D5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4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</w:t>
      </w:r>
      <w:r w:rsidR="0004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 w:rsidR="0028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пенсионного возраста</w:t>
      </w:r>
      <w:r w:rsidR="008D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D74" w:rsidRDefault="00831555" w:rsidP="002C3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сокращение 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ресурсов </w:t>
      </w:r>
      <w:r w:rsidR="0063643A" w:rsidRPr="0063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уменьшением численности населения трудоспособного возраста</w:t>
      </w:r>
      <w:r w:rsidR="00073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1555" w:rsidRDefault="00831555" w:rsidP="002C3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среднесписочн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</w:t>
      </w:r>
      <w:bookmarkStart w:id="0" w:name="_GoBack"/>
      <w:bookmarkEnd w:id="0"/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предприятий и организаций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proofErr w:type="gramEnd"/>
      <w:r w:rsidR="002C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занятых в экономике области 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</w:t>
      </w:r>
      <w:r w:rsidR="00DC6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иционных 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и создани</w:t>
      </w:r>
      <w:r w:rsidR="006A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рабочих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1B64" w:rsidRPr="0063643A" w:rsidRDefault="008D592A" w:rsidP="002C3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</w:t>
      </w:r>
      <w:r w:rsidR="002C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461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B64" w:rsidRPr="006D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</w:t>
      </w:r>
      <w:r w:rsidR="00461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трудоспособного возраста, не занятого трудовой деятельностью и учебой.</w:t>
      </w:r>
    </w:p>
    <w:sectPr w:rsidR="00461B64" w:rsidRPr="0063643A" w:rsidSect="001E5816">
      <w:footerReference w:type="default" r:id="rId1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01" w:rsidRDefault="00F77301" w:rsidP="00635047">
      <w:pPr>
        <w:spacing w:after="0" w:line="240" w:lineRule="auto"/>
      </w:pPr>
      <w:r>
        <w:separator/>
      </w:r>
    </w:p>
  </w:endnote>
  <w:endnote w:type="continuationSeparator" w:id="0">
    <w:p w:rsidR="00F77301" w:rsidRDefault="00F77301" w:rsidP="0063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83090"/>
      <w:docPartObj>
        <w:docPartGallery w:val="Page Numbers (Bottom of Page)"/>
        <w:docPartUnique/>
      </w:docPartObj>
    </w:sdtPr>
    <w:sdtEndPr/>
    <w:sdtContent>
      <w:p w:rsidR="001E5816" w:rsidRDefault="001E5816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55">
          <w:rPr>
            <w:noProof/>
          </w:rPr>
          <w:t>10</w:t>
        </w:r>
        <w:r>
          <w:fldChar w:fldCharType="end"/>
        </w:r>
      </w:p>
    </w:sdtContent>
  </w:sdt>
  <w:p w:rsidR="001E5816" w:rsidRDefault="001E58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01" w:rsidRDefault="00F77301" w:rsidP="00635047">
      <w:pPr>
        <w:spacing w:after="0" w:line="240" w:lineRule="auto"/>
      </w:pPr>
      <w:r>
        <w:separator/>
      </w:r>
    </w:p>
  </w:footnote>
  <w:footnote w:type="continuationSeparator" w:id="0">
    <w:p w:rsidR="00F77301" w:rsidRDefault="00F77301" w:rsidP="0063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64A2"/>
    <w:multiLevelType w:val="multilevel"/>
    <w:tmpl w:val="BFB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2"/>
    <w:rsid w:val="00002585"/>
    <w:rsid w:val="0000650B"/>
    <w:rsid w:val="00011C71"/>
    <w:rsid w:val="000122A7"/>
    <w:rsid w:val="00015D73"/>
    <w:rsid w:val="000160A4"/>
    <w:rsid w:val="00016AC9"/>
    <w:rsid w:val="00016DC8"/>
    <w:rsid w:val="0002112E"/>
    <w:rsid w:val="000213A4"/>
    <w:rsid w:val="00024CEA"/>
    <w:rsid w:val="000315B0"/>
    <w:rsid w:val="0003221D"/>
    <w:rsid w:val="00034FB4"/>
    <w:rsid w:val="00037E75"/>
    <w:rsid w:val="00042CF8"/>
    <w:rsid w:val="00042DCD"/>
    <w:rsid w:val="00044063"/>
    <w:rsid w:val="000463D7"/>
    <w:rsid w:val="00047DB1"/>
    <w:rsid w:val="00050D48"/>
    <w:rsid w:val="00056568"/>
    <w:rsid w:val="00060F5F"/>
    <w:rsid w:val="000619EF"/>
    <w:rsid w:val="00064C0D"/>
    <w:rsid w:val="00067DA4"/>
    <w:rsid w:val="00067EB3"/>
    <w:rsid w:val="00070425"/>
    <w:rsid w:val="00073D74"/>
    <w:rsid w:val="000759B9"/>
    <w:rsid w:val="00076C17"/>
    <w:rsid w:val="000829C0"/>
    <w:rsid w:val="00086DE9"/>
    <w:rsid w:val="00087C74"/>
    <w:rsid w:val="00090049"/>
    <w:rsid w:val="000927EB"/>
    <w:rsid w:val="000964AF"/>
    <w:rsid w:val="00096FF4"/>
    <w:rsid w:val="000A2BE3"/>
    <w:rsid w:val="000A405F"/>
    <w:rsid w:val="000A61EE"/>
    <w:rsid w:val="000B0C9D"/>
    <w:rsid w:val="000B0DFC"/>
    <w:rsid w:val="000B2EE7"/>
    <w:rsid w:val="000B2F56"/>
    <w:rsid w:val="000B30B0"/>
    <w:rsid w:val="000C39C5"/>
    <w:rsid w:val="000D10B8"/>
    <w:rsid w:val="000D2373"/>
    <w:rsid w:val="000D7012"/>
    <w:rsid w:val="000E2EDE"/>
    <w:rsid w:val="000E3E55"/>
    <w:rsid w:val="000E40FD"/>
    <w:rsid w:val="000E7067"/>
    <w:rsid w:val="000F0741"/>
    <w:rsid w:val="000F0B80"/>
    <w:rsid w:val="000F0FF5"/>
    <w:rsid w:val="000F5A6C"/>
    <w:rsid w:val="000F6C16"/>
    <w:rsid w:val="000F7831"/>
    <w:rsid w:val="00101C79"/>
    <w:rsid w:val="00104D96"/>
    <w:rsid w:val="001105CF"/>
    <w:rsid w:val="00111D26"/>
    <w:rsid w:val="00113C0E"/>
    <w:rsid w:val="0012165D"/>
    <w:rsid w:val="00121AFC"/>
    <w:rsid w:val="00121E3A"/>
    <w:rsid w:val="0012313E"/>
    <w:rsid w:val="0012591B"/>
    <w:rsid w:val="00125F21"/>
    <w:rsid w:val="00126A4D"/>
    <w:rsid w:val="00130390"/>
    <w:rsid w:val="001310A1"/>
    <w:rsid w:val="001341FD"/>
    <w:rsid w:val="0013495F"/>
    <w:rsid w:val="00136B44"/>
    <w:rsid w:val="00140DBE"/>
    <w:rsid w:val="0014282B"/>
    <w:rsid w:val="00146542"/>
    <w:rsid w:val="00147343"/>
    <w:rsid w:val="00152774"/>
    <w:rsid w:val="0015278A"/>
    <w:rsid w:val="0015284F"/>
    <w:rsid w:val="00152BDE"/>
    <w:rsid w:val="00153EF5"/>
    <w:rsid w:val="00155D39"/>
    <w:rsid w:val="001577C3"/>
    <w:rsid w:val="001604E6"/>
    <w:rsid w:val="00161F9B"/>
    <w:rsid w:val="001637A5"/>
    <w:rsid w:val="00164415"/>
    <w:rsid w:val="00164FA4"/>
    <w:rsid w:val="001656B9"/>
    <w:rsid w:val="00165AEE"/>
    <w:rsid w:val="001661E0"/>
    <w:rsid w:val="0016632E"/>
    <w:rsid w:val="0016712B"/>
    <w:rsid w:val="00172888"/>
    <w:rsid w:val="00173254"/>
    <w:rsid w:val="00173322"/>
    <w:rsid w:val="0017433D"/>
    <w:rsid w:val="001761F2"/>
    <w:rsid w:val="0017653B"/>
    <w:rsid w:val="00181281"/>
    <w:rsid w:val="001836EC"/>
    <w:rsid w:val="00184A9E"/>
    <w:rsid w:val="00186BC5"/>
    <w:rsid w:val="00187090"/>
    <w:rsid w:val="00192530"/>
    <w:rsid w:val="00193854"/>
    <w:rsid w:val="001965CC"/>
    <w:rsid w:val="001A0C3D"/>
    <w:rsid w:val="001A2965"/>
    <w:rsid w:val="001A3E2C"/>
    <w:rsid w:val="001A6929"/>
    <w:rsid w:val="001B116A"/>
    <w:rsid w:val="001B40C4"/>
    <w:rsid w:val="001B5271"/>
    <w:rsid w:val="001B77B5"/>
    <w:rsid w:val="001C0ED4"/>
    <w:rsid w:val="001C308D"/>
    <w:rsid w:val="001C33C7"/>
    <w:rsid w:val="001C3A06"/>
    <w:rsid w:val="001C5255"/>
    <w:rsid w:val="001C70C4"/>
    <w:rsid w:val="001D0E28"/>
    <w:rsid w:val="001D534E"/>
    <w:rsid w:val="001D60E2"/>
    <w:rsid w:val="001D7C56"/>
    <w:rsid w:val="001E216B"/>
    <w:rsid w:val="001E5816"/>
    <w:rsid w:val="001E60F9"/>
    <w:rsid w:val="001E6C22"/>
    <w:rsid w:val="001E7ACA"/>
    <w:rsid w:val="001E7D08"/>
    <w:rsid w:val="001F490D"/>
    <w:rsid w:val="001F7E33"/>
    <w:rsid w:val="002038A4"/>
    <w:rsid w:val="00204855"/>
    <w:rsid w:val="00204FB1"/>
    <w:rsid w:val="002100D4"/>
    <w:rsid w:val="00210A9E"/>
    <w:rsid w:val="00215293"/>
    <w:rsid w:val="00222120"/>
    <w:rsid w:val="0022269C"/>
    <w:rsid w:val="0022368A"/>
    <w:rsid w:val="002236A9"/>
    <w:rsid w:val="002243D1"/>
    <w:rsid w:val="00227A3E"/>
    <w:rsid w:val="002304A2"/>
    <w:rsid w:val="00235EC2"/>
    <w:rsid w:val="00237121"/>
    <w:rsid w:val="002403D7"/>
    <w:rsid w:val="00242E79"/>
    <w:rsid w:val="0024539D"/>
    <w:rsid w:val="00255A57"/>
    <w:rsid w:val="00260205"/>
    <w:rsid w:val="00260FF6"/>
    <w:rsid w:val="002651BD"/>
    <w:rsid w:val="00265281"/>
    <w:rsid w:val="002669F9"/>
    <w:rsid w:val="00267552"/>
    <w:rsid w:val="0027404E"/>
    <w:rsid w:val="00275629"/>
    <w:rsid w:val="0028043A"/>
    <w:rsid w:val="00282855"/>
    <w:rsid w:val="0028286A"/>
    <w:rsid w:val="002837CA"/>
    <w:rsid w:val="00284219"/>
    <w:rsid w:val="0028507F"/>
    <w:rsid w:val="002861EA"/>
    <w:rsid w:val="00286899"/>
    <w:rsid w:val="002938B9"/>
    <w:rsid w:val="00295325"/>
    <w:rsid w:val="002A1154"/>
    <w:rsid w:val="002A296C"/>
    <w:rsid w:val="002A45DD"/>
    <w:rsid w:val="002A4D47"/>
    <w:rsid w:val="002A5F2B"/>
    <w:rsid w:val="002A75A1"/>
    <w:rsid w:val="002B4926"/>
    <w:rsid w:val="002B4BE6"/>
    <w:rsid w:val="002B6F56"/>
    <w:rsid w:val="002C082B"/>
    <w:rsid w:val="002C09DD"/>
    <w:rsid w:val="002C174D"/>
    <w:rsid w:val="002C3A77"/>
    <w:rsid w:val="002C41DC"/>
    <w:rsid w:val="002C62C8"/>
    <w:rsid w:val="002C6737"/>
    <w:rsid w:val="002D089B"/>
    <w:rsid w:val="002D32F1"/>
    <w:rsid w:val="002D68D3"/>
    <w:rsid w:val="002D6A1E"/>
    <w:rsid w:val="002D71D1"/>
    <w:rsid w:val="002D757A"/>
    <w:rsid w:val="002D7EB3"/>
    <w:rsid w:val="002E0258"/>
    <w:rsid w:val="002E0A10"/>
    <w:rsid w:val="002E188C"/>
    <w:rsid w:val="002E2DDA"/>
    <w:rsid w:val="002E391B"/>
    <w:rsid w:val="002E46E4"/>
    <w:rsid w:val="002E79CF"/>
    <w:rsid w:val="002F0517"/>
    <w:rsid w:val="002F0E4A"/>
    <w:rsid w:val="002F1DF9"/>
    <w:rsid w:val="002F3678"/>
    <w:rsid w:val="002F496E"/>
    <w:rsid w:val="002F6DB7"/>
    <w:rsid w:val="0030076E"/>
    <w:rsid w:val="00300888"/>
    <w:rsid w:val="00302FD1"/>
    <w:rsid w:val="0030323F"/>
    <w:rsid w:val="00306F5B"/>
    <w:rsid w:val="00307B1F"/>
    <w:rsid w:val="00310BAC"/>
    <w:rsid w:val="003167CC"/>
    <w:rsid w:val="00316F7E"/>
    <w:rsid w:val="003170BE"/>
    <w:rsid w:val="00317E80"/>
    <w:rsid w:val="00320B58"/>
    <w:rsid w:val="003210EB"/>
    <w:rsid w:val="00321600"/>
    <w:rsid w:val="00322DE4"/>
    <w:rsid w:val="00324A01"/>
    <w:rsid w:val="003260BF"/>
    <w:rsid w:val="0032685A"/>
    <w:rsid w:val="00327440"/>
    <w:rsid w:val="00330208"/>
    <w:rsid w:val="003355BA"/>
    <w:rsid w:val="003379A1"/>
    <w:rsid w:val="00340074"/>
    <w:rsid w:val="0034166B"/>
    <w:rsid w:val="0034328F"/>
    <w:rsid w:val="00343C5E"/>
    <w:rsid w:val="00344973"/>
    <w:rsid w:val="003515E2"/>
    <w:rsid w:val="00351A24"/>
    <w:rsid w:val="003531A2"/>
    <w:rsid w:val="00353A64"/>
    <w:rsid w:val="003544EA"/>
    <w:rsid w:val="003574C1"/>
    <w:rsid w:val="00362B8F"/>
    <w:rsid w:val="00363F89"/>
    <w:rsid w:val="00364E61"/>
    <w:rsid w:val="003679CD"/>
    <w:rsid w:val="00367CCB"/>
    <w:rsid w:val="00370172"/>
    <w:rsid w:val="00371D7E"/>
    <w:rsid w:val="00372664"/>
    <w:rsid w:val="003752E1"/>
    <w:rsid w:val="00375B95"/>
    <w:rsid w:val="00380D6F"/>
    <w:rsid w:val="0038327C"/>
    <w:rsid w:val="00385C2C"/>
    <w:rsid w:val="003870C8"/>
    <w:rsid w:val="00390C72"/>
    <w:rsid w:val="00391230"/>
    <w:rsid w:val="00394C24"/>
    <w:rsid w:val="003969B3"/>
    <w:rsid w:val="003971A7"/>
    <w:rsid w:val="003A020E"/>
    <w:rsid w:val="003A0467"/>
    <w:rsid w:val="003A0857"/>
    <w:rsid w:val="003A263A"/>
    <w:rsid w:val="003A3186"/>
    <w:rsid w:val="003B015D"/>
    <w:rsid w:val="003B0249"/>
    <w:rsid w:val="003B26E4"/>
    <w:rsid w:val="003B298E"/>
    <w:rsid w:val="003C0B4B"/>
    <w:rsid w:val="003C0F48"/>
    <w:rsid w:val="003C1E38"/>
    <w:rsid w:val="003C1EFA"/>
    <w:rsid w:val="003C3F22"/>
    <w:rsid w:val="003C4704"/>
    <w:rsid w:val="003C4936"/>
    <w:rsid w:val="003C6624"/>
    <w:rsid w:val="003C7AFD"/>
    <w:rsid w:val="003D63E8"/>
    <w:rsid w:val="003E3CA5"/>
    <w:rsid w:val="003E64B3"/>
    <w:rsid w:val="003E72C9"/>
    <w:rsid w:val="003E757A"/>
    <w:rsid w:val="003F2C3F"/>
    <w:rsid w:val="003F2E0A"/>
    <w:rsid w:val="003F4B45"/>
    <w:rsid w:val="003F4F5F"/>
    <w:rsid w:val="003F5230"/>
    <w:rsid w:val="0040070F"/>
    <w:rsid w:val="00402063"/>
    <w:rsid w:val="00402AEB"/>
    <w:rsid w:val="00405A65"/>
    <w:rsid w:val="00413FA0"/>
    <w:rsid w:val="0041427D"/>
    <w:rsid w:val="0041620A"/>
    <w:rsid w:val="0042212E"/>
    <w:rsid w:val="00432BCD"/>
    <w:rsid w:val="00433301"/>
    <w:rsid w:val="0043590A"/>
    <w:rsid w:val="00445452"/>
    <w:rsid w:val="00446280"/>
    <w:rsid w:val="00447EE0"/>
    <w:rsid w:val="00453FEE"/>
    <w:rsid w:val="00457FDC"/>
    <w:rsid w:val="00461B64"/>
    <w:rsid w:val="00461D0F"/>
    <w:rsid w:val="00461E7B"/>
    <w:rsid w:val="00461F76"/>
    <w:rsid w:val="00466C67"/>
    <w:rsid w:val="00472C98"/>
    <w:rsid w:val="0047341D"/>
    <w:rsid w:val="00474282"/>
    <w:rsid w:val="00474A6D"/>
    <w:rsid w:val="0047725B"/>
    <w:rsid w:val="00481472"/>
    <w:rsid w:val="004840DE"/>
    <w:rsid w:val="00486389"/>
    <w:rsid w:val="004864EA"/>
    <w:rsid w:val="004A58CB"/>
    <w:rsid w:val="004B276E"/>
    <w:rsid w:val="004B4F11"/>
    <w:rsid w:val="004B559C"/>
    <w:rsid w:val="004B6C58"/>
    <w:rsid w:val="004C143C"/>
    <w:rsid w:val="004C30CB"/>
    <w:rsid w:val="004C31C2"/>
    <w:rsid w:val="004C3D45"/>
    <w:rsid w:val="004C4FE5"/>
    <w:rsid w:val="004C65D9"/>
    <w:rsid w:val="004D2749"/>
    <w:rsid w:val="004D48D1"/>
    <w:rsid w:val="004D495D"/>
    <w:rsid w:val="004E051A"/>
    <w:rsid w:val="004E0F4F"/>
    <w:rsid w:val="004E10C5"/>
    <w:rsid w:val="004E476F"/>
    <w:rsid w:val="004E5295"/>
    <w:rsid w:val="004E55A8"/>
    <w:rsid w:val="004E5B3A"/>
    <w:rsid w:val="004E6A65"/>
    <w:rsid w:val="004F032E"/>
    <w:rsid w:val="004F05EA"/>
    <w:rsid w:val="004F5052"/>
    <w:rsid w:val="004F517E"/>
    <w:rsid w:val="004F5E61"/>
    <w:rsid w:val="004F7B0B"/>
    <w:rsid w:val="0050120A"/>
    <w:rsid w:val="00503247"/>
    <w:rsid w:val="005065B0"/>
    <w:rsid w:val="00510644"/>
    <w:rsid w:val="005169EF"/>
    <w:rsid w:val="0052002A"/>
    <w:rsid w:val="005232FA"/>
    <w:rsid w:val="00523856"/>
    <w:rsid w:val="00526239"/>
    <w:rsid w:val="00526F1F"/>
    <w:rsid w:val="00532616"/>
    <w:rsid w:val="00532BB3"/>
    <w:rsid w:val="005410E1"/>
    <w:rsid w:val="00542FE8"/>
    <w:rsid w:val="00543E64"/>
    <w:rsid w:val="005444E0"/>
    <w:rsid w:val="00545D67"/>
    <w:rsid w:val="005469CB"/>
    <w:rsid w:val="00546E76"/>
    <w:rsid w:val="0055103F"/>
    <w:rsid w:val="00551205"/>
    <w:rsid w:val="00552127"/>
    <w:rsid w:val="00552F0A"/>
    <w:rsid w:val="00554B4A"/>
    <w:rsid w:val="00556947"/>
    <w:rsid w:val="00557131"/>
    <w:rsid w:val="005609E2"/>
    <w:rsid w:val="005612E4"/>
    <w:rsid w:val="00563324"/>
    <w:rsid w:val="00563A63"/>
    <w:rsid w:val="00564910"/>
    <w:rsid w:val="005756D1"/>
    <w:rsid w:val="0058129F"/>
    <w:rsid w:val="005854CC"/>
    <w:rsid w:val="005931C4"/>
    <w:rsid w:val="005944FE"/>
    <w:rsid w:val="00595FFD"/>
    <w:rsid w:val="005A1D06"/>
    <w:rsid w:val="005A2EAE"/>
    <w:rsid w:val="005A2F5C"/>
    <w:rsid w:val="005A3DFD"/>
    <w:rsid w:val="005A3F9B"/>
    <w:rsid w:val="005B0CC3"/>
    <w:rsid w:val="005B250E"/>
    <w:rsid w:val="005B49B5"/>
    <w:rsid w:val="005C1855"/>
    <w:rsid w:val="005C191A"/>
    <w:rsid w:val="005C2F29"/>
    <w:rsid w:val="005C55BB"/>
    <w:rsid w:val="005D52ED"/>
    <w:rsid w:val="005D5529"/>
    <w:rsid w:val="005D5AE5"/>
    <w:rsid w:val="005D6660"/>
    <w:rsid w:val="005D6CAE"/>
    <w:rsid w:val="005E2CF8"/>
    <w:rsid w:val="005E61D8"/>
    <w:rsid w:val="005F1890"/>
    <w:rsid w:val="005F19A2"/>
    <w:rsid w:val="005F2012"/>
    <w:rsid w:val="005F270C"/>
    <w:rsid w:val="005F2B79"/>
    <w:rsid w:val="005F3F55"/>
    <w:rsid w:val="005F6774"/>
    <w:rsid w:val="005F6D80"/>
    <w:rsid w:val="0060330C"/>
    <w:rsid w:val="00603601"/>
    <w:rsid w:val="00604752"/>
    <w:rsid w:val="00605D53"/>
    <w:rsid w:val="00612E80"/>
    <w:rsid w:val="00613461"/>
    <w:rsid w:val="0061652A"/>
    <w:rsid w:val="006165AD"/>
    <w:rsid w:val="006238F7"/>
    <w:rsid w:val="00623BDE"/>
    <w:rsid w:val="006250E1"/>
    <w:rsid w:val="0062648F"/>
    <w:rsid w:val="00627409"/>
    <w:rsid w:val="0062757E"/>
    <w:rsid w:val="00627CE7"/>
    <w:rsid w:val="00627F03"/>
    <w:rsid w:val="00632075"/>
    <w:rsid w:val="00633D17"/>
    <w:rsid w:val="00634433"/>
    <w:rsid w:val="0063466B"/>
    <w:rsid w:val="00634AAA"/>
    <w:rsid w:val="00635047"/>
    <w:rsid w:val="006362E6"/>
    <w:rsid w:val="0063643A"/>
    <w:rsid w:val="00637565"/>
    <w:rsid w:val="00643F7C"/>
    <w:rsid w:val="006448B6"/>
    <w:rsid w:val="00644B4E"/>
    <w:rsid w:val="00644EC5"/>
    <w:rsid w:val="00646B73"/>
    <w:rsid w:val="00650C61"/>
    <w:rsid w:val="00651995"/>
    <w:rsid w:val="00654766"/>
    <w:rsid w:val="006560C6"/>
    <w:rsid w:val="0065794C"/>
    <w:rsid w:val="00657F69"/>
    <w:rsid w:val="0066757F"/>
    <w:rsid w:val="00667A61"/>
    <w:rsid w:val="00667E70"/>
    <w:rsid w:val="00674981"/>
    <w:rsid w:val="00675C51"/>
    <w:rsid w:val="00680EE9"/>
    <w:rsid w:val="00682D8F"/>
    <w:rsid w:val="00683825"/>
    <w:rsid w:val="00683D23"/>
    <w:rsid w:val="00691174"/>
    <w:rsid w:val="006911FA"/>
    <w:rsid w:val="0069149D"/>
    <w:rsid w:val="00692E47"/>
    <w:rsid w:val="006945AF"/>
    <w:rsid w:val="006952DB"/>
    <w:rsid w:val="00695899"/>
    <w:rsid w:val="00695DD8"/>
    <w:rsid w:val="006963D2"/>
    <w:rsid w:val="0069708D"/>
    <w:rsid w:val="006A1285"/>
    <w:rsid w:val="006A5800"/>
    <w:rsid w:val="006A68FA"/>
    <w:rsid w:val="006A7C1E"/>
    <w:rsid w:val="006B1A2E"/>
    <w:rsid w:val="006B2C07"/>
    <w:rsid w:val="006C20E5"/>
    <w:rsid w:val="006C2539"/>
    <w:rsid w:val="006C533B"/>
    <w:rsid w:val="006C56B3"/>
    <w:rsid w:val="006C683A"/>
    <w:rsid w:val="006D09A6"/>
    <w:rsid w:val="006D1C75"/>
    <w:rsid w:val="006D218F"/>
    <w:rsid w:val="006D638A"/>
    <w:rsid w:val="006D7064"/>
    <w:rsid w:val="006E0848"/>
    <w:rsid w:val="006E569C"/>
    <w:rsid w:val="006E7D0B"/>
    <w:rsid w:val="006F2257"/>
    <w:rsid w:val="006F2919"/>
    <w:rsid w:val="006F4505"/>
    <w:rsid w:val="006F567F"/>
    <w:rsid w:val="006F6BD8"/>
    <w:rsid w:val="00702393"/>
    <w:rsid w:val="0070437B"/>
    <w:rsid w:val="007061F0"/>
    <w:rsid w:val="00710A7B"/>
    <w:rsid w:val="00711841"/>
    <w:rsid w:val="00714940"/>
    <w:rsid w:val="00714E88"/>
    <w:rsid w:val="00715E5B"/>
    <w:rsid w:val="00723B07"/>
    <w:rsid w:val="00723C23"/>
    <w:rsid w:val="0072769A"/>
    <w:rsid w:val="007354B1"/>
    <w:rsid w:val="00736970"/>
    <w:rsid w:val="00736F2E"/>
    <w:rsid w:val="00737086"/>
    <w:rsid w:val="00742C52"/>
    <w:rsid w:val="00743629"/>
    <w:rsid w:val="00744C98"/>
    <w:rsid w:val="00744F19"/>
    <w:rsid w:val="00745077"/>
    <w:rsid w:val="007453B0"/>
    <w:rsid w:val="00745AC3"/>
    <w:rsid w:val="00745EFA"/>
    <w:rsid w:val="00750A48"/>
    <w:rsid w:val="00752A6F"/>
    <w:rsid w:val="00756BD4"/>
    <w:rsid w:val="00757483"/>
    <w:rsid w:val="00760C98"/>
    <w:rsid w:val="007612F5"/>
    <w:rsid w:val="007616DA"/>
    <w:rsid w:val="00761DEF"/>
    <w:rsid w:val="007659FC"/>
    <w:rsid w:val="00766360"/>
    <w:rsid w:val="00767869"/>
    <w:rsid w:val="00770FD0"/>
    <w:rsid w:val="00771A09"/>
    <w:rsid w:val="0077281E"/>
    <w:rsid w:val="00773140"/>
    <w:rsid w:val="00780C87"/>
    <w:rsid w:val="00780E0D"/>
    <w:rsid w:val="00781FC4"/>
    <w:rsid w:val="0078435F"/>
    <w:rsid w:val="00784A40"/>
    <w:rsid w:val="00784FD1"/>
    <w:rsid w:val="00785A52"/>
    <w:rsid w:val="00790C23"/>
    <w:rsid w:val="00791D49"/>
    <w:rsid w:val="00794A07"/>
    <w:rsid w:val="00794DE0"/>
    <w:rsid w:val="00797151"/>
    <w:rsid w:val="007A097C"/>
    <w:rsid w:val="007A0FE5"/>
    <w:rsid w:val="007A3932"/>
    <w:rsid w:val="007A49D1"/>
    <w:rsid w:val="007B1FE1"/>
    <w:rsid w:val="007B37E6"/>
    <w:rsid w:val="007B418A"/>
    <w:rsid w:val="007B7476"/>
    <w:rsid w:val="007C04AD"/>
    <w:rsid w:val="007C1661"/>
    <w:rsid w:val="007C2D4C"/>
    <w:rsid w:val="007C6A61"/>
    <w:rsid w:val="007D02D0"/>
    <w:rsid w:val="007D380E"/>
    <w:rsid w:val="007D46F8"/>
    <w:rsid w:val="007D54CE"/>
    <w:rsid w:val="007D5BA7"/>
    <w:rsid w:val="007D60E3"/>
    <w:rsid w:val="007D71B6"/>
    <w:rsid w:val="007E17F2"/>
    <w:rsid w:val="007E18A1"/>
    <w:rsid w:val="007E3189"/>
    <w:rsid w:val="007E5EFD"/>
    <w:rsid w:val="007E7BF3"/>
    <w:rsid w:val="007F2B64"/>
    <w:rsid w:val="007F5170"/>
    <w:rsid w:val="007F6294"/>
    <w:rsid w:val="007F7592"/>
    <w:rsid w:val="007F79EB"/>
    <w:rsid w:val="00804202"/>
    <w:rsid w:val="00806AF9"/>
    <w:rsid w:val="0081133F"/>
    <w:rsid w:val="00811C15"/>
    <w:rsid w:val="00814255"/>
    <w:rsid w:val="008162F7"/>
    <w:rsid w:val="00817C67"/>
    <w:rsid w:val="008266C3"/>
    <w:rsid w:val="00831555"/>
    <w:rsid w:val="00832651"/>
    <w:rsid w:val="008350AF"/>
    <w:rsid w:val="0083657D"/>
    <w:rsid w:val="008365AE"/>
    <w:rsid w:val="0084145E"/>
    <w:rsid w:val="00841ED1"/>
    <w:rsid w:val="00842976"/>
    <w:rsid w:val="00843A91"/>
    <w:rsid w:val="008514DA"/>
    <w:rsid w:val="00851584"/>
    <w:rsid w:val="008516C0"/>
    <w:rsid w:val="008550EF"/>
    <w:rsid w:val="0085584A"/>
    <w:rsid w:val="00856120"/>
    <w:rsid w:val="00862268"/>
    <w:rsid w:val="0086348F"/>
    <w:rsid w:val="008719B7"/>
    <w:rsid w:val="008722E4"/>
    <w:rsid w:val="00872AF6"/>
    <w:rsid w:val="00875E74"/>
    <w:rsid w:val="00880873"/>
    <w:rsid w:val="0088288A"/>
    <w:rsid w:val="00886CBF"/>
    <w:rsid w:val="008873E1"/>
    <w:rsid w:val="008879F9"/>
    <w:rsid w:val="00887B43"/>
    <w:rsid w:val="0089049A"/>
    <w:rsid w:val="008949FE"/>
    <w:rsid w:val="008971C0"/>
    <w:rsid w:val="008A2EE1"/>
    <w:rsid w:val="008A44DD"/>
    <w:rsid w:val="008A474E"/>
    <w:rsid w:val="008A7728"/>
    <w:rsid w:val="008B1AB9"/>
    <w:rsid w:val="008B341D"/>
    <w:rsid w:val="008B407E"/>
    <w:rsid w:val="008C28E1"/>
    <w:rsid w:val="008C2C74"/>
    <w:rsid w:val="008D1191"/>
    <w:rsid w:val="008D2B42"/>
    <w:rsid w:val="008D592A"/>
    <w:rsid w:val="008D6993"/>
    <w:rsid w:val="008D6A46"/>
    <w:rsid w:val="008E1A4B"/>
    <w:rsid w:val="008E2CBC"/>
    <w:rsid w:val="008F2C09"/>
    <w:rsid w:val="008F3B9A"/>
    <w:rsid w:val="008F450A"/>
    <w:rsid w:val="0090076B"/>
    <w:rsid w:val="00900B53"/>
    <w:rsid w:val="00904CFE"/>
    <w:rsid w:val="00905905"/>
    <w:rsid w:val="00910879"/>
    <w:rsid w:val="009166BC"/>
    <w:rsid w:val="00921640"/>
    <w:rsid w:val="00922A00"/>
    <w:rsid w:val="009230A0"/>
    <w:rsid w:val="00924220"/>
    <w:rsid w:val="00924E41"/>
    <w:rsid w:val="009251A6"/>
    <w:rsid w:val="00925B86"/>
    <w:rsid w:val="00927DEF"/>
    <w:rsid w:val="00931EE7"/>
    <w:rsid w:val="00932DB8"/>
    <w:rsid w:val="00933A54"/>
    <w:rsid w:val="00935221"/>
    <w:rsid w:val="009408BE"/>
    <w:rsid w:val="00941C75"/>
    <w:rsid w:val="0094266A"/>
    <w:rsid w:val="00942E53"/>
    <w:rsid w:val="009453B7"/>
    <w:rsid w:val="009465BC"/>
    <w:rsid w:val="00946951"/>
    <w:rsid w:val="00947C5D"/>
    <w:rsid w:val="00947F23"/>
    <w:rsid w:val="009502EB"/>
    <w:rsid w:val="0095204F"/>
    <w:rsid w:val="009528DE"/>
    <w:rsid w:val="00957A79"/>
    <w:rsid w:val="0096331C"/>
    <w:rsid w:val="0097057B"/>
    <w:rsid w:val="00971EFD"/>
    <w:rsid w:val="009756C9"/>
    <w:rsid w:val="00982C62"/>
    <w:rsid w:val="009862FE"/>
    <w:rsid w:val="009923E6"/>
    <w:rsid w:val="00995D61"/>
    <w:rsid w:val="00997147"/>
    <w:rsid w:val="009977B9"/>
    <w:rsid w:val="00997FA2"/>
    <w:rsid w:val="009A32C5"/>
    <w:rsid w:val="009B3785"/>
    <w:rsid w:val="009B55DC"/>
    <w:rsid w:val="009B6416"/>
    <w:rsid w:val="009C0143"/>
    <w:rsid w:val="009C34B3"/>
    <w:rsid w:val="009D1A1E"/>
    <w:rsid w:val="009D33EF"/>
    <w:rsid w:val="009D3A1D"/>
    <w:rsid w:val="009D3C05"/>
    <w:rsid w:val="009D58A4"/>
    <w:rsid w:val="009D7AD5"/>
    <w:rsid w:val="009E4853"/>
    <w:rsid w:val="009E5D3A"/>
    <w:rsid w:val="009E64A7"/>
    <w:rsid w:val="009E696C"/>
    <w:rsid w:val="009F1EB3"/>
    <w:rsid w:val="009F41D0"/>
    <w:rsid w:val="009F4219"/>
    <w:rsid w:val="009F53C0"/>
    <w:rsid w:val="00A06F71"/>
    <w:rsid w:val="00A11F6A"/>
    <w:rsid w:val="00A1291F"/>
    <w:rsid w:val="00A176DB"/>
    <w:rsid w:val="00A202EA"/>
    <w:rsid w:val="00A208A8"/>
    <w:rsid w:val="00A20E3D"/>
    <w:rsid w:val="00A236B5"/>
    <w:rsid w:val="00A261C7"/>
    <w:rsid w:val="00A341F3"/>
    <w:rsid w:val="00A3553E"/>
    <w:rsid w:val="00A36D53"/>
    <w:rsid w:val="00A413B6"/>
    <w:rsid w:val="00A436BD"/>
    <w:rsid w:val="00A4656B"/>
    <w:rsid w:val="00A51DCE"/>
    <w:rsid w:val="00A542F7"/>
    <w:rsid w:val="00A54C25"/>
    <w:rsid w:val="00A56DC4"/>
    <w:rsid w:val="00A600BE"/>
    <w:rsid w:val="00A60625"/>
    <w:rsid w:val="00A60662"/>
    <w:rsid w:val="00A62B3D"/>
    <w:rsid w:val="00A63521"/>
    <w:rsid w:val="00A645A4"/>
    <w:rsid w:val="00A6487C"/>
    <w:rsid w:val="00A6544E"/>
    <w:rsid w:val="00A66771"/>
    <w:rsid w:val="00A709CF"/>
    <w:rsid w:val="00A71DAD"/>
    <w:rsid w:val="00A73063"/>
    <w:rsid w:val="00A7760A"/>
    <w:rsid w:val="00A80294"/>
    <w:rsid w:val="00A81EDA"/>
    <w:rsid w:val="00A820E2"/>
    <w:rsid w:val="00A85DBA"/>
    <w:rsid w:val="00A866C5"/>
    <w:rsid w:val="00A90A99"/>
    <w:rsid w:val="00A90AC1"/>
    <w:rsid w:val="00A91F71"/>
    <w:rsid w:val="00A9308A"/>
    <w:rsid w:val="00A937A9"/>
    <w:rsid w:val="00A93BC7"/>
    <w:rsid w:val="00A965F8"/>
    <w:rsid w:val="00A96B4A"/>
    <w:rsid w:val="00AA1FC4"/>
    <w:rsid w:val="00AA24C3"/>
    <w:rsid w:val="00AA25E9"/>
    <w:rsid w:val="00AA4BF1"/>
    <w:rsid w:val="00AA4EFB"/>
    <w:rsid w:val="00AA6116"/>
    <w:rsid w:val="00AA7753"/>
    <w:rsid w:val="00AB2B81"/>
    <w:rsid w:val="00AB38B3"/>
    <w:rsid w:val="00AB3E21"/>
    <w:rsid w:val="00AB73DE"/>
    <w:rsid w:val="00AC1D04"/>
    <w:rsid w:val="00AC20F1"/>
    <w:rsid w:val="00AC3688"/>
    <w:rsid w:val="00AC47E0"/>
    <w:rsid w:val="00AC588D"/>
    <w:rsid w:val="00AC5941"/>
    <w:rsid w:val="00AC73FA"/>
    <w:rsid w:val="00AD3D55"/>
    <w:rsid w:val="00AD4379"/>
    <w:rsid w:val="00AD67E3"/>
    <w:rsid w:val="00AE5999"/>
    <w:rsid w:val="00AF15F2"/>
    <w:rsid w:val="00AF2188"/>
    <w:rsid w:val="00AF36DC"/>
    <w:rsid w:val="00B01549"/>
    <w:rsid w:val="00B01D14"/>
    <w:rsid w:val="00B02DF6"/>
    <w:rsid w:val="00B04DD5"/>
    <w:rsid w:val="00B05E84"/>
    <w:rsid w:val="00B067EC"/>
    <w:rsid w:val="00B103F9"/>
    <w:rsid w:val="00B105DB"/>
    <w:rsid w:val="00B13483"/>
    <w:rsid w:val="00B13BB0"/>
    <w:rsid w:val="00B14C5B"/>
    <w:rsid w:val="00B17D78"/>
    <w:rsid w:val="00B207BF"/>
    <w:rsid w:val="00B218FD"/>
    <w:rsid w:val="00B242F1"/>
    <w:rsid w:val="00B24307"/>
    <w:rsid w:val="00B31B12"/>
    <w:rsid w:val="00B3204E"/>
    <w:rsid w:val="00B34281"/>
    <w:rsid w:val="00B4102A"/>
    <w:rsid w:val="00B43632"/>
    <w:rsid w:val="00B47127"/>
    <w:rsid w:val="00B47577"/>
    <w:rsid w:val="00B50B4D"/>
    <w:rsid w:val="00B54E7A"/>
    <w:rsid w:val="00B54F02"/>
    <w:rsid w:val="00B557DD"/>
    <w:rsid w:val="00B5590A"/>
    <w:rsid w:val="00B6073B"/>
    <w:rsid w:val="00B61DFE"/>
    <w:rsid w:val="00B636B2"/>
    <w:rsid w:val="00B65FF0"/>
    <w:rsid w:val="00B77E96"/>
    <w:rsid w:val="00B81F5D"/>
    <w:rsid w:val="00B8281F"/>
    <w:rsid w:val="00B84C49"/>
    <w:rsid w:val="00B90A9E"/>
    <w:rsid w:val="00B911B4"/>
    <w:rsid w:val="00B92595"/>
    <w:rsid w:val="00B92B5C"/>
    <w:rsid w:val="00B94297"/>
    <w:rsid w:val="00B94CEC"/>
    <w:rsid w:val="00B967FB"/>
    <w:rsid w:val="00BA497E"/>
    <w:rsid w:val="00BA51E4"/>
    <w:rsid w:val="00BA5ED1"/>
    <w:rsid w:val="00BB0819"/>
    <w:rsid w:val="00BB1F51"/>
    <w:rsid w:val="00BB23C2"/>
    <w:rsid w:val="00BB6AC3"/>
    <w:rsid w:val="00BB6D90"/>
    <w:rsid w:val="00BC033A"/>
    <w:rsid w:val="00BC1FCC"/>
    <w:rsid w:val="00BC2094"/>
    <w:rsid w:val="00BD0A18"/>
    <w:rsid w:val="00BD0E03"/>
    <w:rsid w:val="00BD7280"/>
    <w:rsid w:val="00BE007F"/>
    <w:rsid w:val="00BE4E8A"/>
    <w:rsid w:val="00BE5B9A"/>
    <w:rsid w:val="00BE688D"/>
    <w:rsid w:val="00BF237C"/>
    <w:rsid w:val="00BF258E"/>
    <w:rsid w:val="00BF3C92"/>
    <w:rsid w:val="00BF56C1"/>
    <w:rsid w:val="00BF6F56"/>
    <w:rsid w:val="00BF7ABD"/>
    <w:rsid w:val="00C023B8"/>
    <w:rsid w:val="00C02CF0"/>
    <w:rsid w:val="00C03BA7"/>
    <w:rsid w:val="00C057AD"/>
    <w:rsid w:val="00C05A76"/>
    <w:rsid w:val="00C07A4A"/>
    <w:rsid w:val="00C1073D"/>
    <w:rsid w:val="00C11242"/>
    <w:rsid w:val="00C1282C"/>
    <w:rsid w:val="00C159D4"/>
    <w:rsid w:val="00C1660C"/>
    <w:rsid w:val="00C1687D"/>
    <w:rsid w:val="00C20992"/>
    <w:rsid w:val="00C248C4"/>
    <w:rsid w:val="00C27295"/>
    <w:rsid w:val="00C32E26"/>
    <w:rsid w:val="00C33455"/>
    <w:rsid w:val="00C348D3"/>
    <w:rsid w:val="00C36EF4"/>
    <w:rsid w:val="00C37D90"/>
    <w:rsid w:val="00C44D98"/>
    <w:rsid w:val="00C45E2F"/>
    <w:rsid w:val="00C460BC"/>
    <w:rsid w:val="00C46BB8"/>
    <w:rsid w:val="00C46EA3"/>
    <w:rsid w:val="00C54670"/>
    <w:rsid w:val="00C55400"/>
    <w:rsid w:val="00C637E0"/>
    <w:rsid w:val="00C6601D"/>
    <w:rsid w:val="00C678C0"/>
    <w:rsid w:val="00C67BF9"/>
    <w:rsid w:val="00C728B9"/>
    <w:rsid w:val="00C7450D"/>
    <w:rsid w:val="00C74525"/>
    <w:rsid w:val="00C74B72"/>
    <w:rsid w:val="00C74FD1"/>
    <w:rsid w:val="00C754E6"/>
    <w:rsid w:val="00C8255C"/>
    <w:rsid w:val="00C827ED"/>
    <w:rsid w:val="00C82CE1"/>
    <w:rsid w:val="00C85AF9"/>
    <w:rsid w:val="00C90E22"/>
    <w:rsid w:val="00C91A12"/>
    <w:rsid w:val="00C93F8E"/>
    <w:rsid w:val="00C967F9"/>
    <w:rsid w:val="00CA0F5D"/>
    <w:rsid w:val="00CA32A7"/>
    <w:rsid w:val="00CA335F"/>
    <w:rsid w:val="00CA4B6E"/>
    <w:rsid w:val="00CA552B"/>
    <w:rsid w:val="00CA6345"/>
    <w:rsid w:val="00CA6C7F"/>
    <w:rsid w:val="00CB2150"/>
    <w:rsid w:val="00CB2C8F"/>
    <w:rsid w:val="00CB34EE"/>
    <w:rsid w:val="00CB5300"/>
    <w:rsid w:val="00CB55CB"/>
    <w:rsid w:val="00CB7407"/>
    <w:rsid w:val="00CC04E4"/>
    <w:rsid w:val="00CC11D8"/>
    <w:rsid w:val="00CC2351"/>
    <w:rsid w:val="00CC2395"/>
    <w:rsid w:val="00CC3B81"/>
    <w:rsid w:val="00CC43AE"/>
    <w:rsid w:val="00CC629E"/>
    <w:rsid w:val="00CC6680"/>
    <w:rsid w:val="00CD4263"/>
    <w:rsid w:val="00CD534B"/>
    <w:rsid w:val="00CE1352"/>
    <w:rsid w:val="00CE4A17"/>
    <w:rsid w:val="00CE66C6"/>
    <w:rsid w:val="00CE733A"/>
    <w:rsid w:val="00CF1D95"/>
    <w:rsid w:val="00CF38BA"/>
    <w:rsid w:val="00CF5207"/>
    <w:rsid w:val="00CF6429"/>
    <w:rsid w:val="00CF73F7"/>
    <w:rsid w:val="00D02734"/>
    <w:rsid w:val="00D0273B"/>
    <w:rsid w:val="00D03A60"/>
    <w:rsid w:val="00D0503B"/>
    <w:rsid w:val="00D05413"/>
    <w:rsid w:val="00D1063C"/>
    <w:rsid w:val="00D1786A"/>
    <w:rsid w:val="00D17D0A"/>
    <w:rsid w:val="00D3039A"/>
    <w:rsid w:val="00D319DA"/>
    <w:rsid w:val="00D32144"/>
    <w:rsid w:val="00D36243"/>
    <w:rsid w:val="00D36353"/>
    <w:rsid w:val="00D3698B"/>
    <w:rsid w:val="00D42332"/>
    <w:rsid w:val="00D47E6C"/>
    <w:rsid w:val="00D507D5"/>
    <w:rsid w:val="00D52DD8"/>
    <w:rsid w:val="00D551BE"/>
    <w:rsid w:val="00D576D6"/>
    <w:rsid w:val="00D607DE"/>
    <w:rsid w:val="00D64B8E"/>
    <w:rsid w:val="00D661F5"/>
    <w:rsid w:val="00D66414"/>
    <w:rsid w:val="00D67DA5"/>
    <w:rsid w:val="00D802BD"/>
    <w:rsid w:val="00D80CC2"/>
    <w:rsid w:val="00D81B89"/>
    <w:rsid w:val="00D81F44"/>
    <w:rsid w:val="00D82320"/>
    <w:rsid w:val="00D83171"/>
    <w:rsid w:val="00D840DB"/>
    <w:rsid w:val="00D85649"/>
    <w:rsid w:val="00D85A79"/>
    <w:rsid w:val="00D90184"/>
    <w:rsid w:val="00D903DA"/>
    <w:rsid w:val="00D930C2"/>
    <w:rsid w:val="00D959C9"/>
    <w:rsid w:val="00D97CF8"/>
    <w:rsid w:val="00DA4CCA"/>
    <w:rsid w:val="00DA4FA6"/>
    <w:rsid w:val="00DA53DF"/>
    <w:rsid w:val="00DA5AB3"/>
    <w:rsid w:val="00DA6A58"/>
    <w:rsid w:val="00DB4A6E"/>
    <w:rsid w:val="00DB5313"/>
    <w:rsid w:val="00DB5776"/>
    <w:rsid w:val="00DB6F4F"/>
    <w:rsid w:val="00DB7B62"/>
    <w:rsid w:val="00DC4459"/>
    <w:rsid w:val="00DC6FD9"/>
    <w:rsid w:val="00DC79B6"/>
    <w:rsid w:val="00DD4C41"/>
    <w:rsid w:val="00DD5832"/>
    <w:rsid w:val="00DE0BEB"/>
    <w:rsid w:val="00DE6634"/>
    <w:rsid w:val="00DE71DC"/>
    <w:rsid w:val="00DE7D63"/>
    <w:rsid w:val="00DF53DC"/>
    <w:rsid w:val="00DF7490"/>
    <w:rsid w:val="00E0322F"/>
    <w:rsid w:val="00E04E54"/>
    <w:rsid w:val="00E04F6F"/>
    <w:rsid w:val="00E112B2"/>
    <w:rsid w:val="00E11E53"/>
    <w:rsid w:val="00E123B9"/>
    <w:rsid w:val="00E126D7"/>
    <w:rsid w:val="00E1473B"/>
    <w:rsid w:val="00E15A2F"/>
    <w:rsid w:val="00E15FF3"/>
    <w:rsid w:val="00E16B2B"/>
    <w:rsid w:val="00E214F4"/>
    <w:rsid w:val="00E23E31"/>
    <w:rsid w:val="00E27FC4"/>
    <w:rsid w:val="00E31FE6"/>
    <w:rsid w:val="00E354E2"/>
    <w:rsid w:val="00E35C93"/>
    <w:rsid w:val="00E378EB"/>
    <w:rsid w:val="00E44BE0"/>
    <w:rsid w:val="00E4601E"/>
    <w:rsid w:val="00E5129E"/>
    <w:rsid w:val="00E5213D"/>
    <w:rsid w:val="00E5368F"/>
    <w:rsid w:val="00E5373E"/>
    <w:rsid w:val="00E615D7"/>
    <w:rsid w:val="00E62E30"/>
    <w:rsid w:val="00E63E0A"/>
    <w:rsid w:val="00E63F1E"/>
    <w:rsid w:val="00E64EA9"/>
    <w:rsid w:val="00E71224"/>
    <w:rsid w:val="00E71266"/>
    <w:rsid w:val="00E72F7B"/>
    <w:rsid w:val="00E74A6E"/>
    <w:rsid w:val="00E8046F"/>
    <w:rsid w:val="00E80DC7"/>
    <w:rsid w:val="00E80E63"/>
    <w:rsid w:val="00E837C2"/>
    <w:rsid w:val="00E866FB"/>
    <w:rsid w:val="00E869A9"/>
    <w:rsid w:val="00E86F63"/>
    <w:rsid w:val="00E87B23"/>
    <w:rsid w:val="00E90749"/>
    <w:rsid w:val="00E9414B"/>
    <w:rsid w:val="00E94189"/>
    <w:rsid w:val="00E960F7"/>
    <w:rsid w:val="00EA0BFC"/>
    <w:rsid w:val="00EA2341"/>
    <w:rsid w:val="00EA26D4"/>
    <w:rsid w:val="00EB0B1B"/>
    <w:rsid w:val="00EB0FE1"/>
    <w:rsid w:val="00EB25CB"/>
    <w:rsid w:val="00EB2A38"/>
    <w:rsid w:val="00EB609B"/>
    <w:rsid w:val="00EB657D"/>
    <w:rsid w:val="00EB7920"/>
    <w:rsid w:val="00EC15EC"/>
    <w:rsid w:val="00EC1A6B"/>
    <w:rsid w:val="00EC1EEC"/>
    <w:rsid w:val="00EC33DB"/>
    <w:rsid w:val="00EC3AA7"/>
    <w:rsid w:val="00EC42B8"/>
    <w:rsid w:val="00EC45DD"/>
    <w:rsid w:val="00EC4D82"/>
    <w:rsid w:val="00EC5653"/>
    <w:rsid w:val="00ED0DF0"/>
    <w:rsid w:val="00ED7779"/>
    <w:rsid w:val="00EE039E"/>
    <w:rsid w:val="00EE0F3B"/>
    <w:rsid w:val="00EE1985"/>
    <w:rsid w:val="00EE19F9"/>
    <w:rsid w:val="00EE1A5C"/>
    <w:rsid w:val="00EE2101"/>
    <w:rsid w:val="00EE32F5"/>
    <w:rsid w:val="00EE45DE"/>
    <w:rsid w:val="00EE4C67"/>
    <w:rsid w:val="00EE5A3C"/>
    <w:rsid w:val="00EE71E0"/>
    <w:rsid w:val="00EF0600"/>
    <w:rsid w:val="00EF347E"/>
    <w:rsid w:val="00F0163E"/>
    <w:rsid w:val="00F0388A"/>
    <w:rsid w:val="00F03BF6"/>
    <w:rsid w:val="00F0587B"/>
    <w:rsid w:val="00F112A8"/>
    <w:rsid w:val="00F12FD0"/>
    <w:rsid w:val="00F15267"/>
    <w:rsid w:val="00F15A36"/>
    <w:rsid w:val="00F173F5"/>
    <w:rsid w:val="00F2283C"/>
    <w:rsid w:val="00F24B9D"/>
    <w:rsid w:val="00F24C6A"/>
    <w:rsid w:val="00F262D9"/>
    <w:rsid w:val="00F30E62"/>
    <w:rsid w:val="00F31116"/>
    <w:rsid w:val="00F338E2"/>
    <w:rsid w:val="00F3434E"/>
    <w:rsid w:val="00F34CC2"/>
    <w:rsid w:val="00F360EF"/>
    <w:rsid w:val="00F379D9"/>
    <w:rsid w:val="00F37D51"/>
    <w:rsid w:val="00F37EEC"/>
    <w:rsid w:val="00F43D99"/>
    <w:rsid w:val="00F443B1"/>
    <w:rsid w:val="00F4441C"/>
    <w:rsid w:val="00F4474C"/>
    <w:rsid w:val="00F44C48"/>
    <w:rsid w:val="00F454CA"/>
    <w:rsid w:val="00F45C46"/>
    <w:rsid w:val="00F47F13"/>
    <w:rsid w:val="00F500AC"/>
    <w:rsid w:val="00F50695"/>
    <w:rsid w:val="00F515B5"/>
    <w:rsid w:val="00F52E0A"/>
    <w:rsid w:val="00F54FD6"/>
    <w:rsid w:val="00F552A1"/>
    <w:rsid w:val="00F55A76"/>
    <w:rsid w:val="00F5671B"/>
    <w:rsid w:val="00F56B48"/>
    <w:rsid w:val="00F6295D"/>
    <w:rsid w:val="00F62F3F"/>
    <w:rsid w:val="00F7098B"/>
    <w:rsid w:val="00F7122B"/>
    <w:rsid w:val="00F7269A"/>
    <w:rsid w:val="00F7468B"/>
    <w:rsid w:val="00F76F2B"/>
    <w:rsid w:val="00F77301"/>
    <w:rsid w:val="00F810C6"/>
    <w:rsid w:val="00F8197C"/>
    <w:rsid w:val="00F83DD3"/>
    <w:rsid w:val="00F86938"/>
    <w:rsid w:val="00F871A2"/>
    <w:rsid w:val="00F93265"/>
    <w:rsid w:val="00F95A66"/>
    <w:rsid w:val="00FA2E6C"/>
    <w:rsid w:val="00FA2EBA"/>
    <w:rsid w:val="00FA7A39"/>
    <w:rsid w:val="00FA7AFF"/>
    <w:rsid w:val="00FB06AA"/>
    <w:rsid w:val="00FB3F96"/>
    <w:rsid w:val="00FB4674"/>
    <w:rsid w:val="00FB468C"/>
    <w:rsid w:val="00FB504F"/>
    <w:rsid w:val="00FB64CE"/>
    <w:rsid w:val="00FC0DF6"/>
    <w:rsid w:val="00FC3775"/>
    <w:rsid w:val="00FC390E"/>
    <w:rsid w:val="00FC3EBE"/>
    <w:rsid w:val="00FC41AA"/>
    <w:rsid w:val="00FC4838"/>
    <w:rsid w:val="00FC5844"/>
    <w:rsid w:val="00FC5B90"/>
    <w:rsid w:val="00FD3E5F"/>
    <w:rsid w:val="00FD6610"/>
    <w:rsid w:val="00FD73B4"/>
    <w:rsid w:val="00FE1C08"/>
    <w:rsid w:val="00FE2707"/>
    <w:rsid w:val="00FE31AD"/>
    <w:rsid w:val="00FE34B5"/>
    <w:rsid w:val="00FE3B3A"/>
    <w:rsid w:val="00FE4A4D"/>
    <w:rsid w:val="00FE5940"/>
    <w:rsid w:val="00FF0D74"/>
    <w:rsid w:val="00FF1873"/>
    <w:rsid w:val="00FF22AB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504F"/>
    <w:rPr>
      <w:strike w:val="0"/>
      <w:dstrike w:val="0"/>
      <w:color w:val="808080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504F"/>
    <w:rPr>
      <w:strike w:val="0"/>
      <w:dstrike w:val="0"/>
      <w:color w:val="808080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8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405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544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953FAFB87F61FD2893E96B2289BF36EB48B4EBB30D18ADB8976B54F471553679B48D15B3A92B719DDFF48893NCTDF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solidFill>
                  <a:sysClr val="windowText" lastClr="000000"/>
                </a:solidFill>
              </a:rPr>
              <a:t>Структура населения</a:t>
            </a:r>
          </a:p>
          <a:p>
            <a:pPr>
              <a:defRPr sz="1100"/>
            </a:pPr>
            <a:r>
              <a:rPr lang="ru-RU" sz="1100">
                <a:solidFill>
                  <a:sysClr val="windowText" lastClr="000000"/>
                </a:solidFill>
              </a:rPr>
              <a:t>2018 год, в</a:t>
            </a:r>
            <a:r>
              <a:rPr lang="ru-RU" sz="1100" baseline="0">
                <a:solidFill>
                  <a:sysClr val="windowText" lastClr="000000"/>
                </a:solidFill>
              </a:rPr>
              <a:t> %</a:t>
            </a:r>
            <a:endParaRPr lang="ru-RU" sz="11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5710180510753716"/>
          <c:y val="2.667377967457988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095176723985734"/>
          <c:y val="0.24870825615631129"/>
          <c:w val="0.45428657180184318"/>
          <c:h val="0.64853073680540529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153310066175869"/>
                  <c:y val="0.1647073153316616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023478768813677E-2"/>
                  <c:y val="-0.203097161145622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263207826901156"/>
                  <c:y val="0.1584222706634914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Лист1!$B$4:$B$6</c:f>
              <c:strCache>
                <c:ptCount val="3"/>
                <c:pt idx="0">
                  <c:v>моложе трудоспособного возраста</c:v>
                </c:pt>
                <c:pt idx="1">
                  <c:v>в трудоспособном возрасте </c:v>
                </c:pt>
                <c:pt idx="2">
                  <c:v>старше трудоспособного возраста </c:v>
                </c:pt>
              </c:strCache>
            </c:strRef>
          </c:cat>
          <c:val>
            <c:numRef>
              <c:f>Лист1!$C$4:$C$6</c:f>
              <c:numCache>
                <c:formatCode>0.0</c:formatCode>
                <c:ptCount val="3"/>
                <c:pt idx="0" formatCode="General">
                  <c:v>18.7</c:v>
                </c:pt>
                <c:pt idx="1">
                  <c:v>56.1</c:v>
                </c:pt>
                <c:pt idx="2" formatCode="General">
                  <c:v>25.2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348948927034054"/>
          <c:y val="0.27529447221718156"/>
          <c:w val="0.35035171464928655"/>
          <c:h val="0.6153522422287464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>
                <a:solidFill>
                  <a:sysClr val="windowText" lastClr="000000"/>
                </a:solidFill>
              </a:rPr>
              <a:t>Структура населения </a:t>
            </a:r>
          </a:p>
          <a:p>
            <a:pPr>
              <a:defRPr sz="1100"/>
            </a:pPr>
            <a:r>
              <a:rPr lang="ru-RU" sz="1100">
                <a:solidFill>
                  <a:sysClr val="windowText" lastClr="000000"/>
                </a:solidFill>
              </a:rPr>
              <a:t>2021 год, в %</a:t>
            </a:r>
          </a:p>
        </c:rich>
      </c:tx>
      <c:layout>
        <c:manualLayout>
          <c:xMode val="edge"/>
          <c:yMode val="edge"/>
          <c:x val="7.6809442626599556E-2"/>
          <c:y val="3.81783474229615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946139067453293"/>
          <c:y val="0.26349845074928763"/>
          <c:w val="0.604083427488597"/>
          <c:h val="0.67120369304959959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320085133875647"/>
                  <c:y val="0.171623591964731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298865036222084"/>
                  <c:y val="0.1784527454863013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Лист1!$B$5:$B$7</c:f>
              <c:numCache>
                <c:formatCode>General</c:formatCode>
                <c:ptCount val="3"/>
                <c:pt idx="0">
                  <c:v>19.3</c:v>
                </c:pt>
                <c:pt idx="1">
                  <c:v>54.9</c:v>
                </c:pt>
                <c:pt idx="2">
                  <c:v>25.8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100" baseline="0"/>
              <a:t>Структура трудовых ресурсов Новосибирской области в 2016 году</a:t>
            </a:r>
            <a:endParaRPr lang="ru-RU" sz="11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224820652057672E-2"/>
          <c:y val="8.2121943432999431E-2"/>
          <c:w val="0.60981094519290191"/>
          <c:h val="0.8606770269395374"/>
        </c:manualLayout>
      </c:layout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5.0193725784276966E-3"/>
                  <c:y val="1.99020660789866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199662542182229E-2"/>
                  <c:y val="-4.145342488245514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Лист1!$E$5:$E$7</c:f>
              <c:strCache>
                <c:ptCount val="3"/>
                <c:pt idx="0">
                  <c:v>трудоспособное население в трудоспособном возрасте </c:v>
                </c:pt>
                <c:pt idx="1">
                  <c:v>лица в возрасте за пределами трудоспособного, занятые в экономике</c:v>
                </c:pt>
                <c:pt idx="2">
                  <c:v>иностранные трудовые мигранты</c:v>
                </c:pt>
              </c:strCache>
            </c:strRef>
          </c:cat>
          <c:val>
            <c:numRef>
              <c:f>Лист1!$F$5:$F$7</c:f>
              <c:numCache>
                <c:formatCode>0.0%</c:formatCode>
                <c:ptCount val="3"/>
                <c:pt idx="0">
                  <c:v>0.88500000000000001</c:v>
                </c:pt>
                <c:pt idx="1">
                  <c:v>7.2999999999999995E-2</c:v>
                </c:pt>
                <c:pt idx="2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737531201993436"/>
          <c:y val="0.27927832387965407"/>
          <c:w val="0.34045858239900678"/>
          <c:h val="0.70592021566918173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трудовых</a:t>
            </a:r>
            <a:r>
              <a:rPr lang="ru-RU" sz="1000" baseline="0"/>
              <a:t> ресурсов Новосибирской области в 2017 году</a:t>
            </a:r>
            <a:endParaRPr lang="ru-RU" sz="1000"/>
          </a:p>
        </c:rich>
      </c:tx>
      <c:layout>
        <c:manualLayout>
          <c:xMode val="edge"/>
          <c:yMode val="edge"/>
          <c:x val="0.10265010369421168"/>
          <c:y val="4.159575819151638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9.7969917523948402E-2"/>
                  <c:y val="-0.264662625891358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675582958601801E-2"/>
                  <c:y val="3.32737221593261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887513117358744"/>
                  <c:y val="1.864742728926663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Лист1!$C$5:$C$7</c:f>
              <c:strCache>
                <c:ptCount val="3"/>
                <c:pt idx="0">
                  <c:v>трудоспособное население в трудоспособном возрасте </c:v>
                </c:pt>
                <c:pt idx="1">
                  <c:v>лица в возрасте за пределами трудоспособного, занятые в экономике</c:v>
                </c:pt>
                <c:pt idx="2">
                  <c:v>иностранные трудовые мигранты</c:v>
                </c:pt>
              </c:strCache>
            </c:strRef>
          </c:cat>
          <c:val>
            <c:numRef>
              <c:f>Лист1!$D$5:$D$7</c:f>
              <c:numCache>
                <c:formatCode>0.0%</c:formatCode>
                <c:ptCount val="3"/>
                <c:pt idx="0">
                  <c:v>0.89100000000000001</c:v>
                </c:pt>
                <c:pt idx="1">
                  <c:v>7.9000000000000001E-2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Диаграмма 3. Динамика численности трудоспособного населения в трудоспособном возрасте, тыс. человек</a:t>
            </a:r>
          </a:p>
        </c:rich>
      </c:tx>
      <c:layout>
        <c:manualLayout>
          <c:xMode val="edge"/>
          <c:yMode val="edge"/>
          <c:x val="0.14346522309711285"/>
          <c:y val="1.851851851851851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2">
            <a:lumMod val="9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Word]Лист1'!$B$4</c:f>
              <c:strCache>
                <c:ptCount val="1"/>
                <c:pt idx="0">
                  <c:v>опвсопоп</c:v>
                </c:pt>
              </c:strCache>
            </c:strRef>
          </c:tx>
          <c:spPr>
            <a:pattFill prst="trellis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1.3888888888888888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2">
                  <a:lumMod val="90000"/>
                </a:schemeClr>
              </a:solidFill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Word]Лист1'!$C$3:$I$3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'[Диаграмма в Microsoft Word]Лист1'!$C$4:$I$4</c:f>
              <c:numCache>
                <c:formatCode>General</c:formatCode>
                <c:ptCount val="7"/>
                <c:pt idx="0">
                  <c:v>1576.9</c:v>
                </c:pt>
                <c:pt idx="1">
                  <c:v>1557.9</c:v>
                </c:pt>
                <c:pt idx="2">
                  <c:v>1541.9</c:v>
                </c:pt>
                <c:pt idx="3">
                  <c:v>1529.5</c:v>
                </c:pt>
                <c:pt idx="4">
                  <c:v>1523.4</c:v>
                </c:pt>
                <c:pt idx="5">
                  <c:v>1519.8</c:v>
                </c:pt>
                <c:pt idx="6">
                  <c:v>1517.3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shape val="cylinder"/>
        <c:axId val="165846016"/>
        <c:axId val="165856000"/>
        <c:axId val="0"/>
      </c:bar3DChart>
      <c:catAx>
        <c:axId val="16584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856000"/>
        <c:crosses val="autoZero"/>
        <c:auto val="1"/>
        <c:lblAlgn val="ctr"/>
        <c:lblOffset val="100"/>
        <c:noMultiLvlLbl val="0"/>
      </c:catAx>
      <c:valAx>
        <c:axId val="165856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58460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Stencil"/>
                <a:ea typeface="Stencil"/>
                <a:cs typeface="Stencil"/>
              </a:defRPr>
            </a:pPr>
            <a:r>
              <a:rPr lang="ru-RU" sz="1100" b="0" i="0" u="none" strike="noStrike" baseline="0">
                <a:solidFill>
                  <a:srgbClr val="000000"/>
                </a:solidFill>
                <a:latin typeface="+mn-lt"/>
              </a:rPr>
              <a:t>Диаграмма 4.</a:t>
            </a:r>
            <a:r>
              <a:rPr lang="ru-RU" sz="1100" b="1" i="0" u="none" strike="noStrike" baseline="0">
                <a:solidFill>
                  <a:srgbClr val="000000"/>
                </a:solidFill>
                <a:latin typeface="+mn-lt"/>
              </a:rPr>
              <a:t> Среднегодовая численность трудовых ресурсов и ее доля в общей численности населения Новосибирской области</a:t>
            </a:r>
          </a:p>
        </c:rich>
      </c:tx>
      <c:layout>
        <c:manualLayout>
          <c:xMode val="edge"/>
          <c:yMode val="edge"/>
          <c:x val="0.11058842056507642"/>
          <c:y val="1.4159292035398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958777211672071E-2"/>
          <c:y val="0.19292063270852206"/>
          <c:w val="0.87529537467741081"/>
          <c:h val="0.58938276078322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'[Диаграмма в Microsoft Word]Диаг04'!$A$2</c:f>
              <c:strCache>
                <c:ptCount val="1"/>
                <c:pt idx="0">
                  <c:v>Среднегодовая численность трудовых ресурсов, тыс. человек</c:v>
                </c:pt>
              </c:strCache>
            </c:strRef>
          </c:tx>
          <c:spPr>
            <a:pattFill prst="pct70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 w="12700">
              <a:solidFill>
                <a:schemeClr val="tx2">
                  <a:lumMod val="75000"/>
                </a:schemeClr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0.0" sourceLinked="0"/>
            <c:spPr>
              <a:solidFill>
                <a:schemeClr val="bg1">
                  <a:lumMod val="95000"/>
                </a:schemeClr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Word]Диаг04'!$B$1:$F$1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'[Диаграмма в Microsoft Word]Диаг04'!$B$2:$F$2</c:f>
              <c:numCache>
                <c:formatCode>General</c:formatCode>
                <c:ptCount val="5"/>
                <c:pt idx="0">
                  <c:v>1730.3000000000002</c:v>
                </c:pt>
                <c:pt idx="1">
                  <c:v>1718.6</c:v>
                </c:pt>
                <c:pt idx="2">
                  <c:v>1713.2</c:v>
                </c:pt>
                <c:pt idx="3">
                  <c:v>1710</c:v>
                </c:pt>
                <c:pt idx="4">
                  <c:v>1708.2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164352"/>
        <c:axId val="166167296"/>
      </c:barChart>
      <c:lineChart>
        <c:grouping val="standard"/>
        <c:varyColors val="0"/>
        <c:ser>
          <c:idx val="0"/>
          <c:order val="1"/>
          <c:tx>
            <c:strRef>
              <c:f>'[Диаграмма в Microsoft Word]Диаг04'!$A$3</c:f>
              <c:strCache>
                <c:ptCount val="1"/>
                <c:pt idx="0">
                  <c:v>Доля трудовых ресурсов в общей численности населения, в %</c:v>
                </c:pt>
              </c:strCache>
            </c:strRef>
          </c:tx>
          <c:spPr>
            <a:ln w="38100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C00000"/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5.1223999030079931E-2"/>
                  <c:y val="-5.9512246440813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61,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61,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60,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60,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Word]Диаг04'!$B$1:$F$1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'[Диаграмма в Microsoft Word]Диаг04'!$B$3:$F$3</c:f>
              <c:numCache>
                <c:formatCode>0.0</c:formatCode>
                <c:ptCount val="5"/>
                <c:pt idx="0">
                  <c:v>62.147115868112941</c:v>
                </c:pt>
                <c:pt idx="1">
                  <c:v>61.536808937267253</c:v>
                </c:pt>
                <c:pt idx="2">
                  <c:v>61.115867579908681</c:v>
                </c:pt>
                <c:pt idx="3">
                  <c:v>60.715807413719638</c:v>
                </c:pt>
                <c:pt idx="4">
                  <c:v>60.360424028268554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6168832"/>
        <c:axId val="166182912"/>
      </c:lineChart>
      <c:catAx>
        <c:axId val="16616435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1672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616729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164352"/>
        <c:crosses val="autoZero"/>
        <c:crossBetween val="between"/>
      </c:valAx>
      <c:catAx>
        <c:axId val="166168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6182912"/>
        <c:crosses val="autoZero"/>
        <c:auto val="0"/>
        <c:lblAlgn val="ctr"/>
        <c:lblOffset val="100"/>
        <c:noMultiLvlLbl val="0"/>
      </c:catAx>
      <c:valAx>
        <c:axId val="166182912"/>
        <c:scaling>
          <c:orientation val="minMax"/>
        </c:scaling>
        <c:delete val="0"/>
        <c:axPos val="r"/>
        <c:numFmt formatCode="0.0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168832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7058862389221033E-2"/>
          <c:y val="0.86548979165214968"/>
          <c:w val="0.92941309945585282"/>
          <c:h val="0.134510208347850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Stencil"/>
                <a:ea typeface="Stencil"/>
                <a:cs typeface="Stencil"/>
              </a:defRPr>
            </a:pPr>
            <a:r>
              <a:rPr lang="ru-RU" sz="1050" b="0" i="0" u="none" strike="noStrike" baseline="0">
                <a:solidFill>
                  <a:srgbClr val="000000"/>
                </a:solidFill>
                <a:latin typeface="+mn-lt"/>
              </a:rPr>
              <a:t>Диаграмма 5. </a:t>
            </a:r>
            <a:r>
              <a:rPr lang="ru-RU" sz="1050" b="1" i="0" u="none" strike="noStrike" baseline="0">
                <a:solidFill>
                  <a:srgbClr val="000000"/>
                </a:solidFill>
                <a:latin typeface="+mn-lt"/>
              </a:rPr>
              <a:t>Численность и доля занятых в экономике в общей численности трудовых ресурсов Новосибирской области </a:t>
            </a:r>
            <a:endParaRPr lang="ru-RU" sz="800" b="1" i="0" u="none" strike="noStrike" baseline="0">
              <a:solidFill>
                <a:srgbClr val="0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1764724409448819"/>
          <c:y val="3.893805309734513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117724778442067E-2"/>
          <c:y val="0.20354010173507073"/>
          <c:w val="0.87529537467741081"/>
          <c:h val="0.582303114765521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'[Диаграмма в Microsoft Word]Диаг04'!$A$2</c:f>
              <c:strCache>
                <c:ptCount val="1"/>
                <c:pt idx="0">
                  <c:v>Численность занятых в экономике, тыс. человек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 w="12700">
              <a:solidFill>
                <a:schemeClr val="bg2">
                  <a:lumMod val="25000"/>
                </a:scheme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5841454286097765E-3"/>
                  <c:y val="0.152602497950557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31214192651506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3121419265150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026114159410771E-3"/>
                  <c:y val="0.12668956531869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026114159410771E-3"/>
                  <c:y val="0.19003434797804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accent4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Word]Диаг04'!$B$1:$F$1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'[Диаграмма в Microsoft Word]Диаг04'!$B$2:$F$2</c:f>
              <c:numCache>
                <c:formatCode>0.0</c:formatCode>
                <c:ptCount val="5"/>
                <c:pt idx="0" formatCode="General">
                  <c:v>1340.7</c:v>
                </c:pt>
                <c:pt idx="1">
                  <c:v>1341.4</c:v>
                </c:pt>
                <c:pt idx="2">
                  <c:v>1342.7</c:v>
                </c:pt>
                <c:pt idx="3" formatCode="General">
                  <c:v>1344</c:v>
                </c:pt>
                <c:pt idx="4" formatCode="General">
                  <c:v>1345.4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948032"/>
        <c:axId val="165966208"/>
      </c:barChart>
      <c:lineChart>
        <c:grouping val="standard"/>
        <c:varyColors val="0"/>
        <c:ser>
          <c:idx val="0"/>
          <c:order val="1"/>
          <c:tx>
            <c:strRef>
              <c:f>'[Диаграмма в Microsoft Word]Диаг04'!$A$3</c:f>
              <c:strCache>
                <c:ptCount val="1"/>
                <c:pt idx="0">
                  <c:v>Доля занятых в экономике в общей численности трудовых ресурсов, в %</c:v>
                </c:pt>
              </c:strCache>
            </c:strRef>
          </c:tx>
          <c:spPr>
            <a:ln w="28575">
              <a:solidFill>
                <a:schemeClr val="accent4">
                  <a:lumMod val="50000"/>
                </a:schemeClr>
              </a:solidFill>
              <a:prstDash val="solid"/>
            </a:ln>
          </c:spPr>
          <c:marker>
            <c:symbol val="diamond"/>
            <c:size val="9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265295637989114E-2"/>
                  <c:y val="-6.5849716106355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080964133635574E-2"/>
                  <c:y val="-6.3068673511085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7333096766448464E-2"/>
                  <c:y val="-5.79180800189250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086262172602024E-2"/>
                  <c:y val="-5.910267733243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78,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6880953894173399E-2"/>
                  <c:y val="-5.42955279937267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9</a:t>
                    </a:r>
                    <a:r>
                      <a:rPr lang="en-US"/>
                      <a:t>,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Word]Диаг04'!$B$1:$F$1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'[Диаграмма в Microsoft Word]Диаг04'!$B$3:$F$3</c:f>
              <c:numCache>
                <c:formatCode>0.0</c:formatCode>
                <c:ptCount val="5"/>
                <c:pt idx="0">
                  <c:v>77.483673351441936</c:v>
                </c:pt>
                <c:pt idx="1">
                  <c:v>78.051902711509371</c:v>
                </c:pt>
                <c:pt idx="2">
                  <c:v>78.373803408825594</c:v>
                </c:pt>
                <c:pt idx="3">
                  <c:v>78.596491228070178</c:v>
                </c:pt>
                <c:pt idx="4">
                  <c:v>78.761269172228069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967744"/>
        <c:axId val="165969280"/>
      </c:lineChart>
      <c:catAx>
        <c:axId val="16594803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966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5966208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948032"/>
        <c:crosses val="autoZero"/>
        <c:crossBetween val="between"/>
      </c:valAx>
      <c:catAx>
        <c:axId val="165967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5969280"/>
        <c:crosses val="autoZero"/>
        <c:auto val="0"/>
        <c:lblAlgn val="ctr"/>
        <c:lblOffset val="100"/>
        <c:noMultiLvlLbl val="0"/>
      </c:catAx>
      <c:valAx>
        <c:axId val="165969280"/>
        <c:scaling>
          <c:orientation val="minMax"/>
        </c:scaling>
        <c:delete val="0"/>
        <c:axPos val="r"/>
        <c:numFmt formatCode="0.0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967744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7058823529411764E-2"/>
          <c:y val="0.89734819873179561"/>
          <c:w val="0.92941306160259374"/>
          <c:h val="8.318611943418574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Диаграмма 6.</a:t>
            </a:r>
            <a:r>
              <a:rPr lang="ru-RU" sz="1100"/>
              <a:t> Структура прочих категорий населения в трудоспособном возрасте, не занятых в экономике, в %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7387324994734326E-2"/>
          <c:y val="0.14002259428606845"/>
          <c:w val="0.91825456439956643"/>
          <c:h val="0.44580681603687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Находящиеся в отпусках по беременности и родам и по уходу за ребенком до достижения им возраста 3-х лет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tx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40.6</c:v>
                </c:pt>
                <c:pt idx="1">
                  <c:v>43.2</c:v>
                </c:pt>
                <c:pt idx="2">
                  <c:v>44.8</c:v>
                </c:pt>
                <c:pt idx="3">
                  <c:v>45.2</c:v>
                </c:pt>
                <c:pt idx="4" formatCode="0.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Выполняющие домашние обязанности, осуществляющие уход за детьми и другими членами семьи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6.3730236099615875E-3"/>
                  <c:y val="-5.96316361324517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4604721992317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7302360996158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87038842324362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62170601660264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17.5</c:v>
                </c:pt>
                <c:pt idx="1">
                  <c:v>19.3</c:v>
                </c:pt>
                <c:pt idx="2">
                  <c:v>20.7</c:v>
                </c:pt>
                <c:pt idx="3">
                  <c:v>21.8</c:v>
                </c:pt>
                <c:pt idx="4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Находящиеся в местах лишения свободы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Лист1!$B$5:$F$5</c:f>
              <c:numCache>
                <c:formatCode>General</c:formatCode>
                <c:ptCount val="5"/>
                <c:pt idx="0" formatCode="0.0">
                  <c:v>4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Призванные на военную службу, а также поступившие на военную службу по контракту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947290274447066E-17"/>
                  <c:y val="1.49079090331129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49079090331129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9263272264903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5.96316361324517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2.98158180662258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solidFill>
                      <a:schemeClr val="accent4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2.1</c:v>
                </c:pt>
                <c:pt idx="1">
                  <c:v>2.1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2.4</c:v>
                </c:pt>
              </c:numCache>
            </c:numRef>
          </c:val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Не имеющие работы, готовые приступить к ней и занимающиеся поиском работы самостоятельно, без обращения в центры занятости населения, а также лица, у которых нет необходимости работать</c:v>
                </c:pt>
              </c:strCache>
            </c:strRef>
          </c:tx>
          <c:spPr>
            <a:ln>
              <a:solidFill>
                <a:schemeClr val="accent5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5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35.799999999999997</c:v>
                </c:pt>
                <c:pt idx="1">
                  <c:v>31.8</c:v>
                </c:pt>
                <c:pt idx="2">
                  <c:v>28.7</c:v>
                </c:pt>
                <c:pt idx="3" formatCode="0.0">
                  <c:v>27</c:v>
                </c:pt>
                <c:pt idx="4">
                  <c:v>26.8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032512"/>
        <c:axId val="166034048"/>
      </c:barChart>
      <c:catAx>
        <c:axId val="16603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034048"/>
        <c:crosses val="autoZero"/>
        <c:auto val="1"/>
        <c:lblAlgn val="ctr"/>
        <c:lblOffset val="100"/>
        <c:noMultiLvlLbl val="0"/>
      </c:catAx>
      <c:valAx>
        <c:axId val="166034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032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64822132947667255"/>
          <c:w val="0.99360346723517479"/>
          <c:h val="0.32624671916010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+mn-lt"/>
                <a:ea typeface="Stencil"/>
                <a:cs typeface="Stencil"/>
              </a:defRPr>
            </a:pPr>
            <a:r>
              <a:rPr lang="ru-RU" sz="1100" b="0" i="0" u="none" strike="noStrike" baseline="0">
                <a:solidFill>
                  <a:srgbClr val="000000"/>
                </a:solidFill>
                <a:latin typeface="+mn-lt"/>
              </a:rPr>
              <a:t>Диаграмма 7. </a:t>
            </a:r>
            <a:r>
              <a:rPr lang="ru-RU" sz="1100" b="1" i="0" u="none" strike="noStrike" baseline="0">
                <a:solidFill>
                  <a:srgbClr val="000000"/>
                </a:solidFill>
                <a:latin typeface="+mn-lt"/>
              </a:rPr>
              <a:t>Динамика численности трудоспособного населения в трудоспособном возрасте, не занятого в экономике Новосибирской области</a:t>
            </a:r>
            <a:endParaRPr lang="ru-RU" sz="900" b="1" i="0" u="none" strike="noStrike" baseline="0">
              <a:solidFill>
                <a:srgbClr val="0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0823544955688413"/>
          <c:y val="1.415934098223514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117724778442067E-2"/>
          <c:y val="0.20354010173507073"/>
          <c:w val="0.87529537467741081"/>
          <c:h val="0.5185934152176384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'[Диаграмма в Microsoft Word]Диаг04'!$A$2</c:f>
              <c:strCache>
                <c:ptCount val="1"/>
                <c:pt idx="0">
                  <c:v>Численность трудоспособного населения в трудоспособном возрасте, не занятого в экономике, тыс. человек </c:v>
                </c:pt>
              </c:strCache>
            </c:strRef>
          </c:tx>
          <c:spPr>
            <a:gradFill rotWithShape="0">
              <a:gsLst>
                <a:gs pos="0">
                  <a:schemeClr val="accent4">
                    <a:lumMod val="40000"/>
                    <a:lumOff val="60000"/>
                  </a:schemeClr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2">
                    <a:gamma/>
                    <a:shade val="46275"/>
                    <a:invGamma/>
                  </a:srgbClr>
                </a:gs>
              </a:gsLst>
              <a:lin ang="27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236344544454967E-3"/>
                  <c:y val="7.81427587920961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103,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89,1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80,1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73,4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71,1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Word]Диаг04'!$B$1:$F$1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'[Диаграмма в Microsoft Word]Диаг04'!$B$2:$F$2</c:f>
              <c:numCache>
                <c:formatCode>0.0</c:formatCode>
                <c:ptCount val="5"/>
                <c:pt idx="0" formatCode="General">
                  <c:v>103.60000000000012</c:v>
                </c:pt>
                <c:pt idx="1">
                  <c:v>92.399999999999821</c:v>
                </c:pt>
                <c:pt idx="2">
                  <c:v>85.999999999999986</c:v>
                </c:pt>
                <c:pt idx="3" formatCode="General">
                  <c:v>79.600000000000023</c:v>
                </c:pt>
                <c:pt idx="4" formatCode="General">
                  <c:v>76.299999999999926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254848"/>
        <c:axId val="165687296"/>
      </c:barChart>
      <c:lineChart>
        <c:grouping val="standard"/>
        <c:varyColors val="0"/>
        <c:ser>
          <c:idx val="0"/>
          <c:order val="1"/>
          <c:tx>
            <c:strRef>
              <c:f>'[Диаграмма в Microsoft Word]Диаг04'!$A$3</c:f>
              <c:strCache>
                <c:ptCount val="1"/>
                <c:pt idx="0">
                  <c:v>Доля в общей численности трудовых ресурсов, в %</c:v>
                </c:pt>
              </c:strCache>
            </c:strRef>
          </c:tx>
          <c:spPr>
            <a:ln w="38100">
              <a:solidFill>
                <a:srgbClr val="FFC000"/>
              </a:solidFill>
              <a:prstDash val="solid"/>
            </a:ln>
          </c:spPr>
          <c:marker>
            <c:symbol val="circle"/>
            <c:size val="9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4">
                    <a:lumMod val="75000"/>
                  </a:schemeClr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647037968543393E-2"/>
                  <c:y val="6.536436688854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647094252872951E-2"/>
                  <c:y val="6.8145618808288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9998036887985942E-2"/>
                  <c:y val="6.3845400083385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823493828365509E-2"/>
                  <c:y val="5.85377260948010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92842604716284E-2"/>
                  <c:y val="6.0170249197915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Word]Диаг04'!$B$1:$F$1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'[Диаграмма в Microsoft Word]Диаг04'!$B$3:$F$3</c:f>
              <c:numCache>
                <c:formatCode>0.0</c:formatCode>
                <c:ptCount val="5"/>
                <c:pt idx="0">
                  <c:v>5.9874010287233492</c:v>
                </c:pt>
                <c:pt idx="1">
                  <c:v>5.3764692191318408</c:v>
                </c:pt>
                <c:pt idx="2">
                  <c:v>5.019845902404855</c:v>
                </c:pt>
                <c:pt idx="3">
                  <c:v>4.654970760233919</c:v>
                </c:pt>
                <c:pt idx="4">
                  <c:v>4.4666900831284346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5688064"/>
        <c:axId val="165689600"/>
      </c:lineChart>
      <c:catAx>
        <c:axId val="1662548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6872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568729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254848"/>
        <c:crosses val="autoZero"/>
        <c:crossBetween val="between"/>
      </c:valAx>
      <c:catAx>
        <c:axId val="165688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5689600"/>
        <c:crosses val="autoZero"/>
        <c:auto val="0"/>
        <c:lblAlgn val="ctr"/>
        <c:lblOffset val="100"/>
        <c:noMultiLvlLbl val="0"/>
      </c:catAx>
      <c:valAx>
        <c:axId val="165689600"/>
        <c:scaling>
          <c:orientation val="minMax"/>
        </c:scaling>
        <c:delete val="0"/>
        <c:axPos val="r"/>
        <c:numFmt formatCode="0.0" sourceLinked="1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688064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7058862389221033E-2"/>
          <c:y val="0.80532318586280627"/>
          <c:w val="0.92941309945585282"/>
          <c:h val="0.1752454881192948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E73A-A3CC-4A85-9723-01616C0A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10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Штыхно Татьяна Александровна</dc:creator>
  <cp:lastModifiedBy>Штыхно Татьяна Александровна</cp:lastModifiedBy>
  <cp:revision>38</cp:revision>
  <cp:lastPrinted>2018-11-07T07:11:00Z</cp:lastPrinted>
  <dcterms:created xsi:type="dcterms:W3CDTF">2018-10-16T04:19:00Z</dcterms:created>
  <dcterms:modified xsi:type="dcterms:W3CDTF">2018-11-09T04:41:00Z</dcterms:modified>
</cp:coreProperties>
</file>