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8" w:type="dxa"/>
        <w:tblLook w:val="01E0" w:firstRow="1" w:lastRow="1" w:firstColumn="1" w:lastColumn="1" w:noHBand="0" w:noVBand="0"/>
      </w:tblPr>
      <w:tblGrid>
        <w:gridCol w:w="4793"/>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bookmarkStart w:id="0" w:name="_GoBack"/>
            <w:bookmarkEnd w:id="0"/>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F5751B">
              <w:rPr>
                <w:color w:val="000000" w:themeColor="text1"/>
                <w:sz w:val="27"/>
                <w:szCs w:val="27"/>
              </w:rPr>
              <w:t>16</w:t>
            </w:r>
            <w:r w:rsidR="00155038" w:rsidRPr="00E67795">
              <w:rPr>
                <w:color w:val="000000" w:themeColor="text1"/>
                <w:sz w:val="27"/>
                <w:szCs w:val="27"/>
              </w:rPr>
              <w:t>»</w:t>
            </w:r>
            <w:r w:rsidR="00C15344" w:rsidRPr="00E67795">
              <w:rPr>
                <w:color w:val="000000" w:themeColor="text1"/>
                <w:sz w:val="27"/>
                <w:szCs w:val="27"/>
              </w:rPr>
              <w:t xml:space="preserve"> </w:t>
            </w:r>
            <w:r w:rsidR="00745D1F">
              <w:rPr>
                <w:color w:val="000000" w:themeColor="text1"/>
                <w:sz w:val="27"/>
                <w:szCs w:val="27"/>
              </w:rPr>
              <w:t>марта</w:t>
            </w:r>
            <w:r w:rsidR="00745D1F" w:rsidRPr="00F66EAB">
              <w:rPr>
                <w:sz w:val="27"/>
                <w:szCs w:val="27"/>
              </w:rPr>
              <w:t xml:space="preserve"> </w:t>
            </w:r>
            <w:r w:rsidR="00745D1F">
              <w:rPr>
                <w:sz w:val="27"/>
                <w:szCs w:val="27"/>
              </w:rPr>
              <w:t xml:space="preserve">2023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E34DE4">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w:t>
      </w:r>
      <w:r w:rsidRPr="00F66EAB">
        <w:rPr>
          <w:sz w:val="28"/>
          <w:szCs w:val="28"/>
        </w:rPr>
        <w:lastRenderedPageBreak/>
        <w:t xml:space="preserve">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w:t>
      </w:r>
      <w:r w:rsidRPr="00F66EAB">
        <w:rPr>
          <w:sz w:val="28"/>
          <w:szCs w:val="28"/>
        </w:rPr>
        <w:lastRenderedPageBreak/>
        <w:t>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proofErr w:type="spellStart"/>
      <w:r w:rsidRPr="00F66EAB">
        <w:rPr>
          <w:sz w:val="28"/>
          <w:szCs w:val="28"/>
        </w:rPr>
        <w:t>номинирование</w:t>
      </w:r>
      <w:proofErr w:type="spellEnd"/>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w:t>
      </w:r>
      <w:proofErr w:type="gramStart"/>
      <w:r w:rsidR="003C331F" w:rsidRPr="00F66EAB">
        <w:rPr>
          <w:sz w:val="28"/>
          <w:szCs w:val="28"/>
        </w:rPr>
        <w:t>постоянно-действующих</w:t>
      </w:r>
      <w:proofErr w:type="gramEnd"/>
      <w:r w:rsidR="003C331F" w:rsidRPr="00F66EAB">
        <w:rPr>
          <w:sz w:val="28"/>
          <w:szCs w:val="28"/>
        </w:rPr>
        <w:t xml:space="preserve">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lastRenderedPageBreak/>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lastRenderedPageBreak/>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A1" w:rsidRDefault="00F54CA1">
      <w:r>
        <w:separator/>
      </w:r>
    </w:p>
  </w:endnote>
  <w:endnote w:type="continuationSeparator" w:id="0">
    <w:p w:rsidR="00F54CA1" w:rsidRDefault="00F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A1" w:rsidRDefault="00F54CA1">
      <w:r>
        <w:separator/>
      </w:r>
    </w:p>
  </w:footnote>
  <w:footnote w:type="continuationSeparator" w:id="0">
    <w:p w:rsidR="00F54CA1" w:rsidRDefault="00F5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1F0D1F">
      <w:rPr>
        <w:rStyle w:val="a7"/>
        <w:noProof/>
        <w:sz w:val="26"/>
        <w:szCs w:val="26"/>
      </w:rPr>
      <w:t>5</w:t>
    </w:r>
    <w:r w:rsidRPr="00BB6408">
      <w:rPr>
        <w:rStyle w:val="a7"/>
        <w:sz w:val="26"/>
        <w:szCs w:val="26"/>
      </w:rPr>
      <w:fldChar w:fldCharType="end"/>
    </w:r>
  </w:p>
  <w:p w:rsidR="007E1C12" w:rsidRDefault="007E1C12" w:rsidP="005D705F">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21AE"/>
    <w:rsid w:val="0005381D"/>
    <w:rsid w:val="00074D89"/>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0D1F"/>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45D1F"/>
    <w:rsid w:val="00754EC9"/>
    <w:rsid w:val="00772D87"/>
    <w:rsid w:val="00797CDD"/>
    <w:rsid w:val="007A11BF"/>
    <w:rsid w:val="007A1D67"/>
    <w:rsid w:val="007A74B6"/>
    <w:rsid w:val="007D1F94"/>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CA1"/>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64DFB-FA05-43B3-99BC-9371639A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Карпова Людмила Александровна</cp:lastModifiedBy>
  <cp:revision>2</cp:revision>
  <cp:lastPrinted>2022-08-03T12:07:00Z</cp:lastPrinted>
  <dcterms:created xsi:type="dcterms:W3CDTF">2023-03-20T10:15:00Z</dcterms:created>
  <dcterms:modified xsi:type="dcterms:W3CDTF">2023-03-20T10:15:00Z</dcterms:modified>
</cp:coreProperties>
</file>