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right="-144"/>
        <w:jc w:val="right"/>
        <w:tabs>
          <w:tab w:val="right" w:pos="8306" w:leader="none"/>
        </w:tabs>
      </w:pPr>
      <w:r>
        <w:t xml:space="preserve">Приложение</w:t>
      </w:r>
      <w:r/>
    </w:p>
    <w:p>
      <w:pPr>
        <w:ind w:right="-144"/>
        <w:jc w:val="center"/>
        <w:tabs>
          <w:tab w:val="right" w:pos="8306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-144"/>
        <w:jc w:val="center"/>
        <w:tabs>
          <w:tab w:val="right" w:pos="830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-144"/>
        <w:jc w:val="center"/>
        <w:tabs>
          <w:tab w:val="right" w:pos="8306" w:leader="none"/>
        </w:tabs>
        <w:rPr>
          <w:b/>
          <w:bCs/>
          <w:highlight w:val="none"/>
        </w:rPr>
      </w:pPr>
      <w:r>
        <w:rPr>
          <w:b/>
        </w:rPr>
        <w:t xml:space="preserve">ИНФОРМАЦИЯ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right="-144"/>
        <w:jc w:val="center"/>
        <w:tabs>
          <w:tab w:val="right" w:pos="8306" w:leader="none"/>
        </w:tabs>
      </w:pPr>
      <w:r>
        <w:t xml:space="preserve">о реализации Правительством Новосибирской области в </w:t>
      </w:r>
      <w:r>
        <w:t xml:space="preserve">202</w:t>
      </w:r>
      <w:r>
        <w:t xml:space="preserve">4 году</w:t>
      </w:r>
      <w:r>
        <w:t xml:space="preserve"> обязательств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на 2023</w:t>
      </w:r>
      <w:r>
        <w:t xml:space="preserve">–</w:t>
      </w:r>
      <w:r>
        <w:t xml:space="preserve">2025 годы </w:t>
      </w:r>
      <w:r/>
    </w:p>
    <w:p>
      <w:pPr>
        <w:ind w:right="-144"/>
        <w:jc w:val="center"/>
        <w:tabs>
          <w:tab w:val="right" w:pos="8306" w:leader="none"/>
        </w:tabs>
      </w:pPr>
      <w:r>
        <w:t xml:space="preserve">(далее – Региональное соглашение)</w:t>
      </w:r>
      <w:r/>
    </w:p>
    <w:p>
      <w:pPr>
        <w:pStyle w:val="861"/>
        <w:ind w:right="-144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</w:pPr>
      <w:r>
        <w:t xml:space="preserve">Региональное соглашение содержит 8 разделов</w:t>
      </w:r>
      <w:r>
        <w:t xml:space="preserve"> с 200 обязательствами, из которых </w:t>
      </w:r>
      <w:r>
        <w:t xml:space="preserve">Правительством Новосибирской области реализ</w:t>
      </w:r>
      <w:r>
        <w:t xml:space="preserve">овывалось</w:t>
      </w:r>
      <w:r>
        <w:t xml:space="preserve"> </w:t>
      </w:r>
      <w:r>
        <w:t xml:space="preserve">101.</w:t>
      </w:r>
      <w:r>
        <w:t xml:space="preserve"> </w:t>
      </w:r>
      <w:r/>
    </w:p>
    <w:p>
      <w:pPr>
        <w:ind w:firstLine="709"/>
        <w:jc w:val="both"/>
        <w:widowControl w:val="off"/>
      </w:pPr>
      <w:r>
        <w:t xml:space="preserve">Выполнение обязательств по разделам:</w:t>
      </w:r>
      <w:r/>
    </w:p>
    <w:p>
      <w:pPr>
        <w:ind w:firstLine="709"/>
        <w:jc w:val="both"/>
        <w:widowControl w:val="off"/>
        <w:rPr>
          <w:i/>
          <w:u w:val="single"/>
        </w:rPr>
      </w:pPr>
      <w:r>
        <w:rPr>
          <w:i/>
          <w:u w:val="single"/>
        </w:rPr>
        <w:t xml:space="preserve">1. Экономика и развитие производства 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ind w:firstLine="709"/>
        <w:jc w:val="both"/>
        <w:widowControl w:val="off"/>
        <w:rPr>
          <w:highlight w:val="none"/>
        </w:rPr>
      </w:pPr>
      <w:r>
        <w:t xml:space="preserve">Стратегическое развитие Новосибирской области в долгосрочной перспективе определено Стратегией социально-экономического развития Новосибирской</w:t>
      </w:r>
      <w:r>
        <w:t xml:space="preserve"> области на период до 2030 года, основными приоритетами которой являются: развитие человеческого капитала и социальной сферы, </w:t>
      </w:r>
      <w:r>
        <w:t xml:space="preserve">развитие конкурентоспособной экономики с высоким уровнем предпринимательской активности, создание современной и безопасной среды для жизни</w:t>
      </w:r>
      <w:r>
        <w:t xml:space="preserve"> населения</w:t>
      </w:r>
      <w:r>
        <w:t xml:space="preserve">, </w:t>
      </w:r>
      <w:r>
        <w:t xml:space="preserve">развитие сельских территорий</w:t>
      </w:r>
      <w:r>
        <w:t xml:space="preserve"> Новосибирской области.</w:t>
      </w:r>
      <w:r>
        <w:t xml:space="preserve"> </w:t>
      </w:r>
      <w:r>
        <w:t xml:space="preserve">Достижение стратегических целей и целевых показателей</w:t>
      </w:r>
      <w:r>
        <w:t xml:space="preserve"> в 2024 году</w:t>
      </w:r>
      <w:r>
        <w:t xml:space="preserve"> обеспечивалось</w:t>
      </w:r>
      <w:r>
        <w:t xml:space="preserve"> областными</w:t>
      </w:r>
      <w:r>
        <w:t xml:space="preserve"> исполнительными органами Новосибирской области в рамках реализации 12 национальных проектов, 3</w:t>
      </w:r>
      <w:r>
        <w:t xml:space="preserve">1</w:t>
      </w:r>
      <w:r>
        <w:t xml:space="preserve"> государственн</w:t>
      </w:r>
      <w:r>
        <w:t xml:space="preserve">ой</w:t>
      </w:r>
      <w:r>
        <w:t xml:space="preserve"> программ</w:t>
      </w:r>
      <w:r>
        <w:t xml:space="preserve">ы</w:t>
      </w:r>
      <w: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color w:val="ff0000"/>
        </w:rPr>
      </w:pPr>
      <w:r>
        <w:rPr>
          <w:highlight w:val="none"/>
        </w:rPr>
        <w:t xml:space="preserve">Реализация национальных проектов на территории Новосибирской области осуществляется по направлениям: «Культура», «Цифровая экономика», «Образование», «Жилье и городская среда», «Экология», «Производительность труда», «Здравоохран</w:t>
      </w:r>
      <w:r>
        <w:rPr>
          <w:highlight w:val="none"/>
        </w:rPr>
        <w:t xml:space="preserve">ение», «Демография», «Безопасные качественные дороги», «Международная кооперация и экспорт», «Туризм и индустрия гостеприимства», «Беспилотные авиационные системы». </w:t>
      </w:r>
      <w:r>
        <w:rPr>
          <w:highlight w:val="none"/>
        </w:rPr>
        <w:t xml:space="preserve">Всего на реализацию региональных проектов в 2024 году направлено 33,3 млрд рублей, из них: 10,8 млрд рублей – средства федерального бюджета, 22,5 млрд рублей – средства консолидированного бюджета Новосибирской области.</w:t>
      </w:r>
      <w:r>
        <w:rPr>
          <w:highlight w:val="none"/>
        </w:rP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ind w:left="63" w:right="-51" w:firstLine="646"/>
        <w:jc w:val="both"/>
      </w:pPr>
      <w:r>
        <w:t xml:space="preserve">Продолжена</w:t>
      </w:r>
      <w:r>
        <w:t xml:space="preserve"> работа по развитию индустриальных, технологических и биотехнологических парков. </w:t>
      </w:r>
      <w:r>
        <w:t xml:space="preserve">Реализовывалась кластерная политика Новосибирской области, позволяющая стимулировать спрос на высокотехнологичные разработки, развивая конструктивное сотрудничество региональных властей, бизнеса, науки и образования.</w:t>
      </w:r>
      <w:r>
        <w:t xml:space="preserve"> </w:t>
      </w:r>
      <w:r>
        <w:t xml:space="preserve"> </w:t>
      </w:r>
      <w:r>
        <w:t xml:space="preserve">На площадках Научно-технологического парка в сфере биотехнологий в наукограде Кольцово (далее – Биотехнопарк) и Промышленно-логистического парка Новосибирской области свою деятельность осуществляют 52</w:t>
      </w:r>
      <w:r>
        <w:t xml:space="preserve"> резидент</w:t>
      </w:r>
      <w:r>
        <w:t xml:space="preserve">а. Объем налоговых поступлений от компаний</w:t>
      </w:r>
      <w:r>
        <w:noBreakHyphen/>
      </w:r>
      <w:r>
        <w:t xml:space="preserve">резидентов в консолидированный бюджет Новосибирской области</w:t>
      </w:r>
      <w:r>
        <w:t xml:space="preserve"> сост</w:t>
      </w:r>
      <w:r>
        <w:t xml:space="preserve">авил более </w:t>
      </w:r>
      <w:r>
        <w:t xml:space="preserve">3 млрд</w:t>
      </w:r>
      <w:r>
        <w:t xml:space="preserve"> рублей. </w:t>
      </w:r>
      <w:r>
        <w:t xml:space="preserve">На площадке Биотехнопарка состоялся XI Всероссийский отраслевой комплекс мероприятий «OpenBio-2024», который является крупным профессиональным событием в сфере биотехнологий и биофармацевтики, получившим признание российского и зарубежного бизнес- и научно</w:t>
      </w:r>
      <w:r>
        <w:t xml:space="preserve">го сообщества.</w:t>
      </w:r>
      <w:r>
        <w:t xml:space="preserve"> </w:t>
      </w:r>
      <w:r/>
    </w:p>
    <w:p>
      <w:pPr>
        <w:ind w:left="63" w:right="-51" w:firstLine="646"/>
        <w:jc w:val="both"/>
      </w:pPr>
      <w:r>
        <w:t xml:space="preserve">Продолжено комплексное обустройство территории и создание парковой зоны «Южный промышленно-логистический парк» (далее – Южный ПЛП). Одним из </w:t>
      </w:r>
      <w:r>
        <w:t xml:space="preserve">реализуемых проектов на площадке парка является инвестиционный проект ООО «Маслов» по строительству производственного комплекса по переработке масличных культур (лен, рапс) стоимостью 5,6 млрд рублей</w:t>
      </w:r>
      <w:r>
        <w:t xml:space="preserve">. </w:t>
      </w:r>
      <w:r>
        <w:t xml:space="preserve">П</w:t>
      </w:r>
      <w:r>
        <w:t xml:space="preserve">отенциальными резидентами индустриального парка «Южный ПЛП»  являются ООО «Бердский Технопарк» – завод по производству кондитерских изделий и пакетированной еды, ООО «Завод упаковк</w:t>
      </w:r>
      <w:r>
        <w:t xml:space="preserve">и» – производство гибкой упаковки, ООО «Алтайский завод профнастила» – производство кровельных материалов, ООО «Родные стены» – производственно-распределительный комплекс. </w:t>
      </w:r>
      <w:r>
        <w:t xml:space="preserve">В реестр индустриальных парков с 2024 года включен частный индустриальный парк «Экран», резиденты которого </w:t>
      </w:r>
      <w:r>
        <w:t xml:space="preserve">осуществляют свою деятельность в области</w:t>
      </w:r>
      <w:r>
        <w:t xml:space="preserve"> элект</w:t>
      </w:r>
      <w:r>
        <w:t xml:space="preserve">роники и оптики, стекла, упаковки, текстиля и продуктов питания. В реестр промышленных парков включен индустриальный парк «Новосиб», на территории которого расположены объекты коммерческой недвижимости, офисного, производственного и складского назначения. </w:t>
      </w:r>
      <w:r/>
    </w:p>
    <w:p>
      <w:pPr>
        <w:ind w:firstLine="709"/>
        <w:jc w:val="both"/>
        <w:widowControl w:val="off"/>
      </w:pPr>
      <w:r>
        <w:rPr>
          <w:highlight w:val="none"/>
        </w:rPr>
      </w:r>
      <w:r>
        <w:rPr>
          <w:highlight w:val="none"/>
        </w:rPr>
        <w:t xml:space="preserve">За 2024 год Советом по инвестициям Новосибирской области рассмотрено 19 инвестиционных проектов с общим объемом инвестиций свыше 25 млрд рублей. Перечислены субсидии 5 инвесторам на сумму 105,3 млн руб. </w:t>
      </w:r>
      <w:r/>
    </w:p>
    <w:p>
      <w:pPr>
        <w:ind w:right="-51" w:firstLine="709"/>
        <w:jc w:val="both"/>
      </w:pPr>
      <w:r>
        <w:t xml:space="preserve">Все эти меры позволили добиться роста объема промышленного производства</w:t>
      </w:r>
      <w:r>
        <w:t xml:space="preserve">.</w:t>
      </w:r>
      <w:r>
        <w:t xml:space="preserve"> </w:t>
      </w:r>
      <w:r>
        <w:t xml:space="preserve">И</w:t>
      </w:r>
      <w:r>
        <w:t xml:space="preserve">ндекс промышленного производства за январь-ноябрь 2024 года составил 10</w:t>
      </w:r>
      <w:r>
        <w:t xml:space="preserve">3,8%</w:t>
      </w:r>
      <w:r>
        <w:t xml:space="preserve">, </w:t>
      </w:r>
      <w:r>
        <w:t xml:space="preserve">обрабатывающ</w:t>
      </w:r>
      <w:r>
        <w:t xml:space="preserve">их</w:t>
      </w:r>
      <w:r>
        <w:t xml:space="preserve"> производств</w:t>
      </w:r>
      <w:r>
        <w:t xml:space="preserve"> –</w:t>
      </w:r>
      <w:r>
        <w:t xml:space="preserve"> 108,5%, </w:t>
      </w:r>
      <w:r>
        <w:t xml:space="preserve">объем работ, выполненных по виду деятельности «Строительство» – 115,9%, оборот розничной торговли – 111,6%, общественного питания – 108,6%. </w:t>
      </w:r>
      <w:r/>
    </w:p>
    <w:p>
      <w:pPr>
        <w:ind w:firstLine="709"/>
        <w:jc w:val="both"/>
        <w:widowControl w:val="off"/>
        <w:rPr>
          <w:i/>
          <w:u w:val="single"/>
        </w:rPr>
      </w:pPr>
      <w:r>
        <w:rPr>
          <w:i/>
          <w:u w:val="single"/>
        </w:rPr>
        <w:t xml:space="preserve">2. Развитие рынка труда и обеспечение занятости населения 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ind w:firstLine="709"/>
        <w:jc w:val="both"/>
        <w:widowControl w:val="off"/>
      </w:pPr>
      <w:r>
        <w:t xml:space="preserve">В целях создания условий для эффективной занятости населения, обеспечения стабильности на рынке труда, а также содействия обеспечению потребности экономики в квалифицированных кадрах на территории Новосибирской области в </w:t>
      </w:r>
      <w:r>
        <w:t xml:space="preserve">2024</w:t>
      </w:r>
      <w:r>
        <w:t xml:space="preserve"> год</w:t>
      </w:r>
      <w:r>
        <w:t xml:space="preserve">у продолжалась реализация мероприятий государственной программы Новосибирской области «Содействие </w:t>
      </w:r>
      <w:r>
        <w:t xml:space="preserve">занятости населения».</w:t>
      </w:r>
      <w:r/>
    </w:p>
    <w:p>
      <w:pPr>
        <w:ind w:firstLine="709"/>
        <w:jc w:val="both"/>
        <w:widowControl w:val="off"/>
      </w:pPr>
      <w:r>
        <w:t xml:space="preserve">В целях повышения доступности получения государственных услуг в области содействия занятости населения государственны</w:t>
      </w:r>
      <w:r>
        <w:t xml:space="preserve">е</w:t>
      </w:r>
      <w:r>
        <w:t xml:space="preserve"> услуг</w:t>
      </w:r>
      <w:r>
        <w:t xml:space="preserve">и</w:t>
      </w:r>
      <w:r>
        <w:t xml:space="preserve"> оказывал</w:t>
      </w:r>
      <w:r>
        <w:t xml:space="preserve">и</w:t>
      </w:r>
      <w:r>
        <w:t xml:space="preserve">сь с использованием функционала информационно-аналитической системы Общероссийская база вакансий «Работа в России», в которой содержится 35,7 тыс. рабочих мест и 209 тыс. резюме ищущих работу граждан</w:t>
      </w:r>
      <w:r>
        <w:t xml:space="preserve">. </w:t>
      </w:r>
      <w:r>
        <w:t xml:space="preserve">Государственными казенными учреждениями занятости населения</w:t>
      </w:r>
      <w:r>
        <w:t xml:space="preserve"> Новосибирской области (далее</w:t>
      </w:r>
      <w:r>
        <w:t xml:space="preserve"> – учреждения</w:t>
      </w:r>
      <w:r>
        <w:t xml:space="preserve"> занятости)</w:t>
      </w:r>
      <w:r>
        <w:t xml:space="preserve"> на профессиональное обучение профессиям, востребованным на регионально</w:t>
      </w:r>
      <w:r>
        <w:t xml:space="preserve">м рынке труда, направле</w:t>
      </w:r>
      <w:r>
        <w:t xml:space="preserve">но 2,1</w:t>
      </w:r>
      <w:r>
        <w:t xml:space="preserve"> тыс. безработных, на общественные и временные работы – </w:t>
      </w:r>
      <w:r>
        <w:t xml:space="preserve">9,2 тыс. ищущих работу и б</w:t>
      </w:r>
      <w:r>
        <w:t xml:space="preserve">езработных граждан,</w:t>
      </w:r>
      <w:r>
        <w:t xml:space="preserve"> в том числе 7,4 тыс. несовершеннолетних граждан трудоустроены на временные работы в свободное от учебы время.</w:t>
      </w:r>
      <w:r>
        <w:t xml:space="preserve"> </w:t>
      </w:r>
      <w:r>
        <w:t xml:space="preserve">Организован</w:t>
      </w:r>
      <w:r>
        <w:t xml:space="preserve">о 199</w:t>
      </w:r>
      <w:r>
        <w:t xml:space="preserve"> </w:t>
      </w:r>
      <w:r>
        <w:t xml:space="preserve">ярмар</w:t>
      </w:r>
      <w:r>
        <w:t xml:space="preserve">ок </w:t>
      </w:r>
      <w:r>
        <w:t xml:space="preserve">в</w:t>
      </w:r>
      <w:r>
        <w:t xml:space="preserve">акансий и учебных рабочих мест. </w:t>
      </w:r>
      <w:r/>
    </w:p>
    <w:p>
      <w:pPr>
        <w:ind w:firstLine="709"/>
        <w:jc w:val="both"/>
        <w:widowControl w:val="off"/>
        <w:rPr>
          <w:color w:val="ff0000"/>
        </w:rPr>
      </w:pPr>
      <w:r>
        <w:t xml:space="preserve">Услуги по профессиональной ориентации оказаны </w:t>
      </w:r>
      <w:r>
        <w:t xml:space="preserve">13</w:t>
      </w:r>
      <w:r>
        <w:t xml:space="preserve"> тыс. гражда</w:t>
      </w:r>
      <w:r>
        <w:rPr>
          <w:color w:val="auto"/>
        </w:rPr>
        <w:t xml:space="preserve">н</w:t>
      </w:r>
      <w:r>
        <w:rPr>
          <w:color w:val="auto"/>
        </w:rPr>
        <w:t xml:space="preserve">ам</w:t>
      </w:r>
      <w:r>
        <w:t xml:space="preserve"> в возрасте от 14 до 35 лет и </w:t>
      </w:r>
      <w:r>
        <w:t xml:space="preserve">1 тыс. гражданам, уволенным в связи с ликвидацией организации либо сокращением численности и штата работников</w:t>
      </w:r>
      <w:r>
        <w:t xml:space="preserve">,</w:t>
      </w:r>
      <w:r>
        <w:t xml:space="preserve"> </w:t>
      </w:r>
      <w:r>
        <w:t xml:space="preserve">п</w:t>
      </w:r>
      <w:r>
        <w:t xml:space="preserve">о содействию трудоустройству </w:t>
      </w:r>
      <w:r>
        <w:t xml:space="preserve">–</w:t>
      </w:r>
      <w:r>
        <w:t xml:space="preserve"> </w:t>
      </w:r>
      <w:r>
        <w:t xml:space="preserve">18,8 тыс. гражданам, испытывающим трудности в поиске работы (инвалид</w:t>
      </w:r>
      <w:r>
        <w:t xml:space="preserve">ы</w:t>
      </w:r>
      <w:r>
        <w:t xml:space="preserve">; лица, освобожденны</w:t>
      </w:r>
      <w:r>
        <w:t xml:space="preserve">е</w:t>
      </w:r>
      <w:r>
        <w:t xml:space="preserve"> из учреждений, исполняющих наказание в виде лишения свободы; несовершеннолетн</w:t>
      </w:r>
      <w:r>
        <w:t xml:space="preserve">ие</w:t>
      </w:r>
      <w:r>
        <w:t xml:space="preserve">; одиноки</w:t>
      </w:r>
      <w:r>
        <w:t xml:space="preserve">е</w:t>
      </w:r>
      <w:r>
        <w:t xml:space="preserve"> и многодетны</w:t>
      </w:r>
      <w:r>
        <w:t xml:space="preserve">е</w:t>
      </w:r>
      <w:r>
        <w:t xml:space="preserve"> родител</w:t>
      </w:r>
      <w:r>
        <w:t xml:space="preserve">и</w:t>
      </w:r>
      <w:r>
        <w:t xml:space="preserve">, воспитывающи</w:t>
      </w:r>
      <w:r>
        <w:t xml:space="preserve">е</w:t>
      </w:r>
      <w:r>
        <w:t xml:space="preserve"> несовершеннолетних детей; лица предпенсионного возраста; беженц</w:t>
      </w:r>
      <w:r>
        <w:t xml:space="preserve">ы</w:t>
      </w:r>
      <w:r>
        <w:t xml:space="preserve"> и вынужденны</w:t>
      </w:r>
      <w:r>
        <w:t xml:space="preserve">е</w:t>
      </w:r>
      <w:r>
        <w:t xml:space="preserve"> переселенц</w:t>
      </w:r>
      <w:r>
        <w:t xml:space="preserve">ы</w:t>
      </w:r>
      <w:r>
        <w:t xml:space="preserve"> и др.), трудоустроено </w:t>
      </w:r>
      <w:r>
        <w:t xml:space="preserve">10,4</w:t>
      </w:r>
      <w:r>
        <w:t xml:space="preserve"> тыс. граждан указанных категорий.</w:t>
      </w: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widowControl w:val="off"/>
      </w:pPr>
      <w:r>
        <w:t xml:space="preserve">Продолжена реализация мероприятий по организации профессионального обучения и</w:t>
      </w:r>
      <w:r>
        <w:t xml:space="preserve"> дополнительного профессионального образования отдельных категорий граждан: молодежь в возрасте до 35 лет включительно; женщины, находящиеся в отпуске по уходу за ребенком до достижения им возраста трех лет; граждане в возрасте 50 лет и старше </w:t>
      </w:r>
      <w:r>
        <w:t xml:space="preserve">и другие.</w:t>
      </w:r>
      <w:r>
        <w:t xml:space="preserve"> </w:t>
      </w:r>
      <w:r>
        <w:t xml:space="preserve">Направлено на обучение</w:t>
      </w:r>
      <w:r>
        <w:t xml:space="preserve"> </w:t>
      </w:r>
      <w:r>
        <w:t xml:space="preserve">2,7 тыс. граждан, в том числе 113 женщин, не состоящих в трудовых отношениях и имеющих детей дошкольного возраста в возрасте от 0 до 7 лет включительно, 312 граждан, фактически осуществляющих уход за ребенком и находящихся в отпуске по уходу за ребе</w:t>
      </w:r>
      <w:r>
        <w:t xml:space="preserve">нком до достижения им возраста трех лет, а также 15 граждан предпенсионного возраста. Трудоустроены или сохранили занятость 340 граждан</w:t>
      </w:r>
      <w:r>
        <w:t xml:space="preserve">.</w:t>
      </w:r>
      <w:r/>
    </w:p>
    <w:p>
      <w:pPr>
        <w:ind w:firstLine="709"/>
        <w:jc w:val="both"/>
        <w:widowControl w:val="off"/>
        <w:rPr>
          <w:color w:val="auto"/>
        </w:rPr>
      </w:pPr>
      <w:r>
        <w:t xml:space="preserve">Проведено </w:t>
      </w:r>
      <w:r>
        <w:t xml:space="preserve">более тысячи</w:t>
      </w:r>
      <w:r>
        <w:t xml:space="preserve"> информационно-организационных мероприятий, в том числе дни службы занятости, дни работников кадровых служб, круглые столы, совещания, семинары, рабочие встречи с работодателями.</w:t>
      </w:r>
      <w:r>
        <w:t xml:space="preserve"> В</w:t>
      </w:r>
      <w:r>
        <w:t xml:space="preserve"> организациях, планирующих сокращение работников</w:t>
      </w:r>
      <w:r>
        <w:t xml:space="preserve">, </w:t>
      </w:r>
      <w:r>
        <w:t xml:space="preserve">проведено </w:t>
      </w:r>
      <w:r>
        <w:t xml:space="preserve">137 предувольнительны</w:t>
      </w:r>
      <w:r>
        <w:t xml:space="preserve">х</w:t>
      </w:r>
      <w:r>
        <w:t xml:space="preserve"> консультаци</w:t>
      </w:r>
      <w:r>
        <w:t xml:space="preserve">й</w:t>
      </w:r>
      <w:r>
        <w:t xml:space="preserve"> для</w:t>
      </w:r>
      <w:r>
        <w:t xml:space="preserve"> </w:t>
      </w:r>
      <w:r>
        <w:t xml:space="preserve">835 человек </w:t>
      </w:r>
      <w:r>
        <w:t xml:space="preserve">по вопросам законодательства о труде и занятости</w:t>
      </w:r>
      <w:r>
        <w:t xml:space="preserve">. В результате превентивных мер удалось не допустить массовых и незаконных сокращений работников. </w:t>
      </w:r>
      <w:r>
        <w:rPr>
          <w:color w:val="auto"/>
        </w:rPr>
        <w:t xml:space="preserve">Из 4,6 тыс. работников, получивших уведомление о предполагаемом сокращении, фактически уволен</w:t>
      </w:r>
      <w:r>
        <w:rPr>
          <w:color w:val="auto"/>
        </w:rPr>
        <w:t xml:space="preserve">о</w:t>
      </w:r>
      <w:r>
        <w:rPr>
          <w:color w:val="auto"/>
        </w:rPr>
        <w:t xml:space="preserve"> 3174 работника, остались на рабочих местах 782, это каждых пятый работник, намеченный к увольнению. </w:t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widowControl w:val="off"/>
      </w:pPr>
      <w:r>
        <w:t xml:space="preserve">При содействии </w:t>
      </w:r>
      <w:r>
        <w:t xml:space="preserve">учреждений занятости</w:t>
      </w:r>
      <w:r>
        <w:t xml:space="preserve"> трудоустроено </w:t>
      </w:r>
      <w:r>
        <w:t xml:space="preserve">25,8 тыс. человек, </w:t>
      </w:r>
      <w:r>
        <w:t xml:space="preserve">консультационные услуги по содействию предпринимательской деятельности получили 1,5 тыс. человек, открыли собственное дело</w:t>
      </w:r>
      <w:r>
        <w:t xml:space="preserve"> 1,1 тыс. человек</w:t>
      </w:r>
      <w:r>
        <w:t xml:space="preserve">. Единовременную финансовую помощь на начало осуществления предпринимательской деятельности получили 154 человека.</w:t>
      </w:r>
      <w:r/>
    </w:p>
    <w:p>
      <w:pPr>
        <w:ind w:firstLine="709"/>
        <w:jc w:val="both"/>
        <w:widowControl w:val="off"/>
      </w:pPr>
      <w:r>
        <w:t xml:space="preserve">Проводимые мероприятия по содействию занятости населения </w:t>
      </w:r>
      <w:r>
        <w:t xml:space="preserve">позволили сохранить</w:t>
      </w:r>
      <w:r>
        <w:t xml:space="preserve"> уров</w:t>
      </w:r>
      <w:r>
        <w:t xml:space="preserve">е</w:t>
      </w:r>
      <w:r>
        <w:t xml:space="preserve">н</w:t>
      </w:r>
      <w:r>
        <w:t xml:space="preserve">ь</w:t>
      </w:r>
      <w:r>
        <w:t xml:space="preserve"> официальной безработицы на 1 января</w:t>
      </w:r>
      <w:r>
        <w:t xml:space="preserve"> </w:t>
      </w:r>
      <w:r>
        <w:t xml:space="preserve">202</w:t>
      </w:r>
      <w:r>
        <w:t xml:space="preserve">5 года </w:t>
      </w:r>
      <w:r>
        <w:t xml:space="preserve">в размере</w:t>
      </w:r>
      <w:r>
        <w:t xml:space="preserve"> 0,4%</w:t>
      </w:r>
      <w:r>
        <w:t xml:space="preserve"> от численности рабочей силы</w:t>
      </w:r>
      <w:r>
        <w:t xml:space="preserve">, </w:t>
      </w:r>
      <w:r>
        <w:t xml:space="preserve">то есть на 0,2 процентных пункта ниже</w:t>
      </w:r>
      <w:r>
        <w:t xml:space="preserve"> 1 января 2024 года.</w:t>
      </w:r>
      <w:r/>
    </w:p>
    <w:p>
      <w:pPr>
        <w:ind w:firstLine="709"/>
        <w:jc w:val="both"/>
        <w:widowControl w:val="off"/>
        <w:rPr>
          <w:i/>
          <w:u w:val="single"/>
        </w:rPr>
      </w:pPr>
      <w:r>
        <w:rPr>
          <w:i/>
          <w:u w:val="single"/>
        </w:rPr>
        <w:t xml:space="preserve">3. Повышение уровня жизни, регулирование оплаты труда 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ind w:right="11" w:firstLine="709"/>
        <w:jc w:val="both"/>
        <w:rPr>
          <w:highlight w:val="none"/>
        </w:rPr>
      </w:pPr>
      <w:r>
        <w:t xml:space="preserve">В Новосибирской области</w:t>
      </w:r>
      <w:r>
        <w:t xml:space="preserve"> осуществляются мероприятия, направленные на</w:t>
      </w:r>
      <w:r>
        <w:t xml:space="preserve"> выполн</w:t>
      </w:r>
      <w:r>
        <w:t xml:space="preserve">ение</w:t>
      </w:r>
      <w:r>
        <w:t xml:space="preserve"> поручени</w:t>
      </w:r>
      <w:r>
        <w:t xml:space="preserve">я</w:t>
      </w:r>
      <w:r>
        <w:t xml:space="preserve"> Президента Российской Федерации о сохранении достигнутого соотношения средней заработной платы отдельных категорий работников бюджетной сферы и средней заработной платы в регионе. Мониторинг средней заработной платы по целевым категориям работников </w:t>
      </w:r>
      <w:r>
        <w:t xml:space="preserve">проводится</w:t>
      </w:r>
      <w:r>
        <w:t xml:space="preserve"> с ежемесячной периодичностью. </w:t>
      </w:r>
      <w:r>
        <w:rPr>
          <w:highlight w:val="none"/>
        </w:rPr>
      </w:r>
      <w:r>
        <w:rPr>
          <w:highlight w:val="none"/>
        </w:rPr>
      </w:r>
    </w:p>
    <w:p>
      <w:pPr>
        <w:ind w:right="11" w:firstLine="709"/>
        <w:jc w:val="both"/>
      </w:pPr>
      <w:r>
        <w:t xml:space="preserve">В 2024 году достижение целевых показателей, установленных в Указах, осуществлялось исходя из оценочного значения среднемесячного дохода от трудовой деятельности, определенного в размере 62060 руб. </w:t>
      </w:r>
      <w:r>
        <w:t xml:space="preserve">Своевременно проводились корректировка оценочного значения показателя среднемесячного дохода от трудовой деятельности исходя из ожидаемых темпов роста среднемесячной номинальной начисленной заработной платы работников организаций, </w:t>
      </w:r>
      <w:r>
        <w:t xml:space="preserve">оперативный мониторинг средней заработной платы по отдельным категориям работников, контролировалось представление в надлежащее время государственными и муниципальными учреждениями Новосибирской области сведений о средней заработной плате в те</w:t>
      </w:r>
      <w:r>
        <w:t xml:space="preserve">рриториальный орган Федеральной службы государственной статистики по Новосибирской области.</w:t>
      </w:r>
      <w:r/>
    </w:p>
    <w:p>
      <w:pPr>
        <w:ind w:right="11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Ситуация с выплатой просроченной задолженности по заработной плате работникам организаций Новосибирской области отслеживалась в оперативном режиме (еженедельно) во взаимодействии с надзорными органами, руководителями и конкурсными управляющими организ</w:t>
      </w:r>
      <w:r>
        <w:rPr>
          <w:highlight w:val="none"/>
        </w:rPr>
        <w:t xml:space="preserve">аций-дол</w:t>
      </w:r>
      <w:r>
        <w:rPr>
          <w:highlight w:val="none"/>
        </w:rPr>
        <w:t xml:space="preserve">жников. По данным Новосибирскстата на 01.01.2025 задолженность в организациях, являющихся респондентами статистического учета, составила 6 млн рублей. В результате принимаемых мер в 2024 году всеми организациями-должниками выплачено 436,8 млн рублей задерж</w:t>
      </w:r>
      <w:r>
        <w:rPr>
          <w:highlight w:val="none"/>
        </w:rPr>
        <w:t xml:space="preserve">анной заработной платы. </w:t>
      </w:r>
      <w:r>
        <w:rPr>
          <w:highlight w:val="none"/>
        </w:rPr>
      </w:r>
      <w:r>
        <w:rPr>
          <w:highlight w:val="none"/>
        </w:rPr>
      </w:r>
    </w:p>
    <w:p>
      <w:pPr>
        <w:ind w:right="11" w:firstLine="709"/>
        <w:jc w:val="both"/>
      </w:pPr>
      <w:r>
        <w:rPr>
          <w:highlight w:val="none"/>
        </w:rPr>
      </w:r>
      <w:r>
        <w:t xml:space="preserve">В рамках Плана мероприятий по снижению уровня неформальной занятости и легализации трудовых отношений на 2022</w:t>
      </w:r>
      <w:r>
        <w:t xml:space="preserve">–</w:t>
      </w:r>
      <w:r>
        <w:t xml:space="preserve">2024 годы </w:t>
      </w:r>
      <w:r>
        <w:rPr>
          <w:bCs/>
        </w:rPr>
        <w:t xml:space="preserve">трудовые отношения легализованы с </w:t>
      </w:r>
      <w:r>
        <w:rPr>
          <w:lang w:eastAsia="en-US"/>
        </w:rPr>
        <w:t xml:space="preserve">11618</w:t>
      </w:r>
      <w:r>
        <w:rPr>
          <w:bCs/>
        </w:rPr>
        <w:t xml:space="preserve"> работниками.</w:t>
      </w:r>
      <w:r/>
    </w:p>
    <w:p>
      <w:pPr>
        <w:ind w:right="11" w:firstLine="709"/>
        <w:jc w:val="both"/>
        <w:rPr>
          <w:bCs/>
        </w:rPr>
      </w:pPr>
      <w:r>
        <w:rPr>
          <w:bCs/>
        </w:rPr>
        <w:t xml:space="preserve">В январе-декабре 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года среднемесячная номинальная начисленная заработная плата работников организаций Новосибирской области составила </w:t>
      </w:r>
      <w:r>
        <w:rPr>
          <w:lang w:eastAsia="en-US"/>
        </w:rPr>
        <w:t xml:space="preserve">75052,4</w:t>
      </w:r>
      <w:r>
        <w:rPr>
          <w:bCs/>
        </w:rPr>
        <w:t xml:space="preserve"> </w:t>
      </w:r>
      <w:r>
        <w:rPr>
          <w:bCs/>
        </w:rPr>
        <w:t xml:space="preserve">рубля, увеличившись по сравнению с январем-ноябрем</w:t>
      </w:r>
      <w:r>
        <w:rPr>
          <w:bCs/>
        </w:rPr>
        <w:t xml:space="preserve"> </w:t>
      </w:r>
      <w:r>
        <w:rPr>
          <w:bCs/>
        </w:rPr>
        <w:t xml:space="preserve">202</w:t>
      </w:r>
      <w:r>
        <w:rPr>
          <w:bCs/>
        </w:rPr>
        <w:t xml:space="preserve">3</w:t>
      </w:r>
      <w:r>
        <w:rPr>
          <w:bCs/>
        </w:rPr>
        <w:t xml:space="preserve"> года на 1</w:t>
      </w:r>
      <w:r>
        <w:rPr>
          <w:bCs/>
        </w:rPr>
        <w:t xml:space="preserve">8,0%. Индекс реальной начисленной заработной п</w:t>
      </w:r>
      <w:r>
        <w:rPr>
          <w:bCs/>
        </w:rPr>
        <w:t xml:space="preserve">латы составил за этот период 108,3</w:t>
      </w:r>
      <w:r>
        <w:rPr>
          <w:bCs/>
        </w:rPr>
        <w:t xml:space="preserve">%. </w:t>
      </w:r>
      <w:r>
        <w:rPr>
          <w:bCs/>
        </w:rPr>
      </w:r>
      <w:r>
        <w:rPr>
          <w:bCs/>
        </w:rPr>
      </w:r>
    </w:p>
    <w:p>
      <w:pPr>
        <w:ind w:right="11" w:firstLine="709"/>
        <w:jc w:val="both"/>
      </w:pPr>
      <w:r>
        <w:rPr>
          <w:bCs/>
        </w:rPr>
        <w:t xml:space="preserve">Рост среднемесячной номинальной начисленной заработной платы зафиксирован в</w:t>
      </w:r>
      <w:r>
        <w:rPr>
          <w:bCs/>
          <w:highlight w:val="none"/>
        </w:rPr>
        <w:t xml:space="preserve">о всех видах экономической деятельности. </w:t>
      </w:r>
      <w:r>
        <w:rPr>
          <w:rFonts w:eastAsia="Calibri"/>
          <w:highlight w:val="none"/>
        </w:rPr>
        <w:t xml:space="preserve">В отраслях социальной сферы среднемеся</w:t>
      </w:r>
      <w:r>
        <w:rPr>
          <w:rFonts w:eastAsia="Calibri"/>
          <w:highlight w:val="none"/>
        </w:rPr>
        <w:t xml:space="preserve">чная номинальная начисленная заработная плата выросла: </w:t>
      </w:r>
      <w:r>
        <w:rPr>
          <w:rFonts w:eastAsia="Calibri"/>
          <w:highlight w:val="none"/>
        </w:rPr>
        <w:t xml:space="preserve">в образовании – на 18,2%, составив 62791,7 рубля; </w:t>
      </w:r>
      <w:r>
        <w:rPr>
          <w:rFonts w:eastAsia="Calibri"/>
          <w:highlight w:val="none"/>
        </w:rPr>
        <w:t xml:space="preserve">в</w:t>
      </w:r>
      <w:r>
        <w:rPr>
          <w:rFonts w:eastAsia="Calibri"/>
          <w:highlight w:val="none"/>
        </w:rPr>
        <w:t xml:space="preserve"> сфере здравоохранения и социальных услуг </w:t>
      </w:r>
      <w:r>
        <w:rPr>
          <w:rFonts w:eastAsia="Calibri"/>
          <w:highlight w:val="none"/>
        </w:rPr>
        <w:t xml:space="preserve">–</w:t>
      </w:r>
      <w:r>
        <w:rPr>
          <w:rFonts w:eastAsia="Calibri"/>
          <w:highlight w:val="none"/>
        </w:rPr>
        <w:t xml:space="preserve"> на 16,7</w:t>
      </w:r>
      <w:r>
        <w:rPr>
          <w:rFonts w:eastAsia="Calibri"/>
          <w:highlight w:val="none"/>
        </w:rPr>
        <w:t xml:space="preserve">%, составив </w:t>
      </w:r>
      <w:r>
        <w:rPr>
          <w:rFonts w:eastAsia="Calibri"/>
          <w:highlight w:val="none"/>
        </w:rPr>
        <w:t xml:space="preserve">71248,9</w:t>
      </w:r>
      <w:r>
        <w:rPr>
          <w:rFonts w:eastAsia="Calibri"/>
          <w:highlight w:val="none"/>
        </w:rPr>
        <w:t xml:space="preserve"> рубля; в сфере культуры, спорта, организации досуга и развлечений – на </w:t>
      </w:r>
      <w:r>
        <w:rPr>
          <w:rFonts w:eastAsia="Calibri"/>
          <w:highlight w:val="none"/>
        </w:rPr>
        <w:t xml:space="preserve">13,2</w:t>
      </w:r>
      <w:r>
        <w:rPr>
          <w:rFonts w:eastAsia="Calibri"/>
          <w:highlight w:val="none"/>
        </w:rPr>
        <w:t xml:space="preserve">%, составив </w:t>
      </w:r>
      <w:r>
        <w:rPr>
          <w:rFonts w:eastAsia="Calibri"/>
          <w:highlight w:val="none"/>
        </w:rPr>
        <w:t xml:space="preserve">70411,0</w:t>
      </w:r>
      <w:r>
        <w:rPr>
          <w:rFonts w:eastAsia="Calibri"/>
          <w:highlight w:val="none"/>
        </w:rPr>
        <w:t xml:space="preserve"> рубля. </w:t>
      </w:r>
      <w:r>
        <w:rPr>
          <w:highlight w:val="none"/>
        </w:rPr>
        <w:t xml:space="preserve">Мероприятия, обеспечивающие рост заработной платы и соблюдение основных </w:t>
      </w:r>
      <w:r>
        <w:rPr>
          <w:highlight w:val="none"/>
        </w:rPr>
        <w:t xml:space="preserve">государственных гарантий по оплате труда работников, в том числе минимального размера оплаты труда, реализовывались в государственных и муниципальных учреждениях</w:t>
      </w:r>
      <w:r>
        <w:rPr>
          <w:highlight w:val="none"/>
        </w:rPr>
        <w:t xml:space="preserve"> Новосибирской области</w:t>
      </w:r>
      <w:r>
        <w:rPr>
          <w:highlight w:val="none"/>
        </w:rPr>
        <w:t xml:space="preserve"> в рамках выполнения с</w:t>
      </w:r>
      <w:r>
        <w:rPr>
          <w:highlight w:val="none"/>
        </w:rPr>
        <w:t xml:space="preserve">оглашений и коллективных договоров.</w:t>
      </w:r>
      <w:r/>
    </w:p>
    <w:p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Суммарный объем среднедушевых денежных доходов населения Новосибирской области в </w:t>
      </w:r>
      <w:r>
        <w:rPr>
          <w:rFonts w:eastAsia="Calibri"/>
        </w:rPr>
        <w:t xml:space="preserve">январе-декабре </w:t>
      </w:r>
      <w:r>
        <w:rPr>
          <w:rFonts w:eastAsia="Calibri"/>
        </w:rPr>
        <w:t xml:space="preserve">202</w:t>
      </w:r>
      <w:r>
        <w:rPr>
          <w:rFonts w:eastAsia="Calibri"/>
        </w:rPr>
        <w:t xml:space="preserve">4</w:t>
      </w:r>
      <w:r>
        <w:rPr>
          <w:rFonts w:eastAsia="Calibri"/>
        </w:rPr>
        <w:t xml:space="preserve"> года превысил на </w:t>
      </w:r>
      <w:r>
        <w:rPr>
          <w:rFonts w:eastAsia="Calibri"/>
        </w:rPr>
        <w:t xml:space="preserve">17,0</w:t>
      </w:r>
      <w:r>
        <w:rPr>
          <w:rFonts w:eastAsia="Calibri"/>
        </w:rPr>
        <w:t xml:space="preserve">% показатель соответствующего периода 202</w:t>
      </w:r>
      <w:r>
        <w:rPr>
          <w:rFonts w:eastAsia="Calibri"/>
        </w:rPr>
        <w:t xml:space="preserve">3</w:t>
      </w:r>
      <w:r>
        <w:rPr>
          <w:rFonts w:eastAsia="Calibri"/>
        </w:rPr>
        <w:t xml:space="preserve"> года и составил </w:t>
      </w:r>
      <w:r>
        <w:rPr>
          <w:rFonts w:eastAsia="Calibri"/>
        </w:rPr>
        <w:t xml:space="preserve">58432</w:t>
      </w:r>
      <w:r>
        <w:rPr>
          <w:rFonts w:eastAsia="Calibri"/>
        </w:rPr>
        <w:t xml:space="preserve"> рубля.</w:t>
      </w:r>
      <w:r>
        <w:rPr>
          <w:rFonts w:eastAsia="Calibri"/>
        </w:rPr>
      </w:r>
      <w:r>
        <w:rPr>
          <w:rFonts w:eastAsia="Calibri"/>
        </w:rPr>
      </w:r>
    </w:p>
    <w:p>
      <w:pPr>
        <w:ind w:right="11" w:firstLine="709"/>
        <w:jc w:val="both"/>
        <w:rPr>
          <w:bCs/>
          <w:i/>
          <w:highlight w:val="none"/>
          <w:u w:val="single"/>
        </w:rPr>
      </w:pPr>
      <w:r>
        <w:rPr>
          <w:i/>
          <w:u w:val="single"/>
        </w:rPr>
        <w:t xml:space="preserve">4. Охрана труда и экологическая безопасность </w:t>
      </w:r>
      <w:r>
        <w:rPr>
          <w:bCs/>
          <w:i/>
          <w:highlight w:val="none"/>
          <w:u w:val="single"/>
        </w:rPr>
      </w:r>
      <w:r>
        <w:rPr>
          <w:bCs/>
          <w:i/>
          <w:highlight w:val="none"/>
          <w:u w:val="single"/>
        </w:rPr>
      </w:r>
    </w:p>
    <w:p>
      <w:pPr>
        <w:ind w:firstLine="709"/>
        <w:jc w:val="both"/>
        <w:widowControl w:val="off"/>
        <w:rPr>
          <w:bCs/>
        </w:rPr>
      </w:pPr>
      <w:r>
        <w:rPr>
          <w:color w:val="000000"/>
        </w:rPr>
        <w:t xml:space="preserve">Продолжалась реализация</w:t>
      </w:r>
      <w:r>
        <w:rPr>
          <w:color w:val="000000"/>
        </w:rPr>
        <w:t xml:space="preserve"> </w:t>
      </w:r>
      <w:r>
        <w:rPr>
          <w:color w:val="000000"/>
        </w:rPr>
        <w:t xml:space="preserve">мероприятий по улучшению условий и охраны труда,</w:t>
      </w:r>
      <w:r>
        <w:t xml:space="preserve"> направленных на сохранение жизни и здоровья работников в процессе трудовой деятельности</w:t>
      </w:r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widowControl w:val="off"/>
      </w:pPr>
      <w:r>
        <w:t xml:space="preserve">Специальная оценка условий труда проведена на </w:t>
      </w:r>
      <w:r>
        <w:t xml:space="preserve">595</w:t>
      </w:r>
      <w:r>
        <w:t xml:space="preserve"> тыс. рабочих мест, </w:t>
      </w:r>
      <w:r>
        <w:t xml:space="preserve">что соответствует более 80% всех рабочих мест организаций Новосибирской области,</w:t>
      </w:r>
      <w:r>
        <w:t xml:space="preserve"> прошли обучение по охране труда </w:t>
      </w:r>
      <w:r>
        <w:t xml:space="preserve">34,7</w:t>
      </w:r>
      <w:r>
        <w:t xml:space="preserve"> тыс. работников организаций</w:t>
      </w:r>
      <w:r>
        <w:t xml:space="preserve"> Новосибирской области</w:t>
      </w:r>
      <w:r>
        <w:t xml:space="preserve">, в том числе </w:t>
      </w:r>
      <w:r>
        <w:t xml:space="preserve">6,9 тыс. руководителей.</w:t>
      </w:r>
      <w:r/>
    </w:p>
    <w:p>
      <w:pPr>
        <w:ind w:firstLine="709"/>
        <w:jc w:val="both"/>
        <w:rPr>
          <w:rFonts w:eastAsia="Calibri"/>
        </w:rPr>
      </w:pPr>
      <w:r>
        <w:rPr>
          <w:bCs/>
        </w:rPr>
        <w:t xml:space="preserve">Проведено</w:t>
      </w:r>
      <w:r>
        <w:rPr>
          <w:bCs/>
        </w:rPr>
        <w:t xml:space="preserve"> </w:t>
      </w:r>
      <w:r>
        <w:t xml:space="preserve">более </w:t>
      </w:r>
      <w:r>
        <w:t xml:space="preserve">11,9</w:t>
      </w:r>
      <w:r>
        <w:t xml:space="preserve"> </w:t>
      </w:r>
      <w:r>
        <w:rPr>
          <w:bCs/>
        </w:rPr>
        <w:t xml:space="preserve">тыс. консультаций с работодателями и работниками по вопросам законодательства в области охраны труда, </w:t>
      </w:r>
      <w:r>
        <w:t xml:space="preserve">размещен</w:t>
      </w:r>
      <w:r>
        <w:t xml:space="preserve">о</w:t>
      </w:r>
      <w:r>
        <w:t xml:space="preserve"> </w:t>
      </w:r>
      <w:r>
        <w:t xml:space="preserve">285</w:t>
      </w:r>
      <w:r>
        <w:t xml:space="preserve"> публикаци</w:t>
      </w:r>
      <w:r>
        <w:t xml:space="preserve">й по вопросам охраны труда в печатных и электронных ресурсах муниципальных районов и городских округов Новосибирской области.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5220" w:leader="none"/>
        </w:tabs>
      </w:pPr>
      <w:r>
        <w:t xml:space="preserve">В целях привлечения внимания к вопросам охраны труда, распространению передового опыта работ</w:t>
      </w:r>
      <w:r>
        <w:t xml:space="preserve">ы по созданию безопасных условий труда на официальном сайте министерства труда и социального развития Новосибирской области размещены информационно-методические материалы и памятки. </w:t>
      </w:r>
      <w:r>
        <w:t xml:space="preserve">Проведен</w:t>
      </w:r>
      <w:r>
        <w:t xml:space="preserve">о 3 семинара </w:t>
      </w:r>
      <w:r>
        <w:t xml:space="preserve">по вопросам улучшения условий и охраны труда</w:t>
      </w:r>
      <w:r>
        <w:t xml:space="preserve"> и предотвращения несчастных случаев на производстве </w:t>
      </w:r>
      <w:r>
        <w:t xml:space="preserve">с руководителями и специалистами строительных и дорожно-строительных организаций Новосибирской области</w:t>
      </w:r>
      <w:r>
        <w:t xml:space="preserve">; круглый стол по охране труда и «Сибирская неделя охраны труда»; 8 конкурсов на лучшую организацию по состоянию условий и охраны труда в муниципальных районах и городских округах Новосибирской области; </w:t>
      </w:r>
      <w:r>
        <w:rPr>
          <w:bCs/>
          <w:iCs/>
        </w:rPr>
        <w:t xml:space="preserve">XXX</w:t>
      </w:r>
      <w:r>
        <w:rPr>
          <w:bCs/>
          <w:iCs/>
          <w:lang w:val="en-US"/>
        </w:rPr>
        <w:t xml:space="preserve">V </w:t>
      </w:r>
      <w:r>
        <w:rPr>
          <w:bCs/>
          <w:iCs/>
        </w:rPr>
        <w:t xml:space="preserve">студенческая олимпиада «Безопасность жизнедеятельности и охрана труда»</w:t>
      </w:r>
      <w:r>
        <w:rPr>
          <w:bCs/>
          <w:iCs/>
        </w:rPr>
        <w:t xml:space="preserve">; конкурс детского рисунка «Охрана труда глазами детей».</w:t>
      </w:r>
      <w:r>
        <w:t xml:space="preserve"> </w:t>
      </w:r>
      <w:r>
        <w:t xml:space="preserve">Взаимодействие с федеральными органами надзора и контроля в сфере охраны труда осуществлял</w:t>
      </w:r>
      <w:r>
        <w:t xml:space="preserve">о</w:t>
      </w:r>
      <w:r>
        <w:t xml:space="preserve">сь в рамках Экспертного совета по охране труда. </w:t>
      </w:r>
      <w:r/>
    </w:p>
    <w:p>
      <w:pPr>
        <w:ind w:firstLine="709"/>
        <w:jc w:val="both"/>
        <w:widowControl w:val="off"/>
      </w:pPr>
      <w:r>
        <w:t xml:space="preserve">В целях улучшения экологической обстановки, развития водохозяйственного </w:t>
      </w:r>
      <w:r>
        <w:t xml:space="preserve">комплекса, устойчивого существования и использования охотничьих ресурсов реализовывались мероприятия</w:t>
      </w:r>
      <w:r>
        <w:t xml:space="preserve"> федерального проекта «Чистая страна» национального проекта «Экология»,</w:t>
      </w:r>
      <w:r>
        <w:t xml:space="preserve"> государственной программы Новосибирской области «Охрана окружающей среды». </w:t>
      </w:r>
      <w:r/>
    </w:p>
    <w:p>
      <w:pPr>
        <w:ind w:firstLine="709"/>
        <w:jc w:val="both"/>
        <w:widowControl w:val="off"/>
        <w:rPr>
          <w:i/>
          <w:u w:val="single"/>
        </w:rPr>
      </w:pPr>
      <w:r>
        <w:rPr>
          <w:i/>
          <w:u w:val="single"/>
        </w:rPr>
        <w:t xml:space="preserve">5. Социальная поддержка населения и развитие социальной сферы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ind w:firstLine="709"/>
        <w:jc w:val="both"/>
        <w:widowControl w:val="off"/>
      </w:pPr>
      <w:r>
        <w:t xml:space="preserve">Создание условий для роста благосостояния граждан, снижения бедности среди получателей мер поддержки, повышения доступности социального обслуживания населения достигалось посредством реализации мер</w:t>
      </w:r>
      <w:r>
        <w:t xml:space="preserve"> государственной программы Новосибирской области «Социальная поддержка в Новосибирской области» и</w:t>
      </w:r>
      <w:r>
        <w:t xml:space="preserve"> региональной программы </w:t>
      </w:r>
      <w:r>
        <w:rPr>
          <w:bCs/>
        </w:rPr>
        <w:t xml:space="preserve">«Снижение доли населения с денежными доходами ниже величины прожиточного минимума в Новосибирской области на период до 2030 года</w:t>
      </w:r>
      <w:r>
        <w:t xml:space="preserve">».</w:t>
      </w:r>
      <w:r/>
    </w:p>
    <w:p>
      <w:pPr>
        <w:ind w:firstLine="709"/>
        <w:jc w:val="both"/>
        <w:widowControl w:val="off"/>
      </w:pPr>
      <w:r>
        <w:t xml:space="preserve">Социальная помощь оказана порядка</w:t>
      </w:r>
      <w:r>
        <w:t xml:space="preserve"> </w:t>
      </w:r>
      <w:r>
        <w:t xml:space="preserve">7 тыс. малоимущих граждан (семей) и граждан, находящихся в трудной жизненной ситуации, </w:t>
      </w:r>
      <w:r>
        <w:t xml:space="preserve">более 6</w:t>
      </w:r>
      <w:r>
        <w:t xml:space="preserve"> тыс. граждан получили адресную помощь на условиях социального контракта. Компенсацию расходов на оплату жилья и к</w:t>
      </w:r>
      <w:r>
        <w:t xml:space="preserve">оммунальных услуг получили 519,1</w:t>
      </w:r>
      <w:r>
        <w:t xml:space="preserve"> тыс. человек на сумму </w:t>
      </w:r>
      <w:r>
        <w:t xml:space="preserve">8,0</w:t>
      </w:r>
      <w:r>
        <w:t xml:space="preserve"> млрд рублей, на уплату взноса на капитальный ремонт – 21</w:t>
      </w:r>
      <w:r>
        <w:t xml:space="preserve">,2</w:t>
      </w:r>
      <w:r>
        <w:t xml:space="preserve"> тыс. неработающих собственников жилых помещений в возрасте 70</w:t>
      </w:r>
      <w:r>
        <w:rPr>
          <w:bCs/>
        </w:rPr>
        <w:t xml:space="preserve">–</w:t>
      </w:r>
      <w:r>
        <w:t xml:space="preserve">80 лет</w:t>
      </w:r>
      <w:r>
        <w:t xml:space="preserve"> (58,1</w:t>
      </w:r>
      <w:r>
        <w:t xml:space="preserve"> млн рублей</w:t>
      </w:r>
      <w:r>
        <w:t xml:space="preserve">)</w:t>
      </w:r>
      <w:r>
        <w:t xml:space="preserve">. С целью улучшения качества жизни граждан старшего поколения </w:t>
      </w:r>
      <w:r>
        <w:t xml:space="preserve">3,4 тыс. ветеранам труда выделены путевки на санаторно-курортное лечение, </w:t>
      </w:r>
      <w:r>
        <w:t xml:space="preserve">138</w:t>
      </w:r>
      <w:r>
        <w:t xml:space="preserve"> ветеранам Великой Отечественной войны предоставлена денежная выплата на улучшение социально-бытовых условий. </w:t>
      </w:r>
      <w:r>
        <w:t xml:space="preserve">Обеспечены стационарозамещающими формами социального обслуживания</w:t>
      </w:r>
      <w:r>
        <w:t xml:space="preserve"> 8,3</w:t>
      </w:r>
      <w:r>
        <w:t xml:space="preserve"> </w:t>
      </w:r>
      <w:r>
        <w:t xml:space="preserve"> тыс. человек.</w:t>
      </w:r>
      <w:r/>
    </w:p>
    <w:p>
      <w:pPr>
        <w:ind w:firstLine="709"/>
        <w:jc w:val="both"/>
        <w:widowControl w:val="off"/>
      </w:pPr>
      <w:r>
        <w:t xml:space="preserve">Общая численность граждан, получивших социальные выплаты, пособия и компенсации в </w:t>
      </w:r>
      <w:r>
        <w:t xml:space="preserve">2024</w:t>
      </w:r>
      <w:r>
        <w:t xml:space="preserve"> год</w:t>
      </w:r>
      <w:r>
        <w:t xml:space="preserve">у составила более </w:t>
      </w:r>
      <w:r>
        <w:t xml:space="preserve">787</w:t>
      </w:r>
      <w:r>
        <w:t xml:space="preserve"> тыс. человек. На предоставление </w:t>
      </w:r>
      <w:r>
        <w:t xml:space="preserve">122 </w:t>
      </w:r>
      <w:r>
        <w:t xml:space="preserve">мер социальной поддержки из федерального</w:t>
      </w:r>
      <w:r>
        <w:t xml:space="preserve"> бюджета</w:t>
      </w:r>
      <w:r>
        <w:t xml:space="preserve"> и областного бюджет</w:t>
      </w:r>
      <w:r>
        <w:t xml:space="preserve">а Новосибирской области</w:t>
      </w:r>
      <w:r>
        <w:t xml:space="preserve"> направлено более </w:t>
      </w:r>
      <w:r>
        <w:t xml:space="preserve">32,5 </w:t>
      </w:r>
      <w:r>
        <w:t xml:space="preserve">млрд рублей.</w:t>
      </w:r>
      <w:r/>
    </w:p>
    <w:p>
      <w:pPr>
        <w:ind w:firstLine="709"/>
        <w:jc w:val="both"/>
        <w:widowControl w:val="off"/>
      </w:pPr>
      <w:r>
        <w:t xml:space="preserve">Проводились мероприятия по повышению уровня комфортности и безопасности условий проживания населения Новосибирской области на основе повышения надежности работы объектов жилищно-коммунального комплекса, разви</w:t>
      </w:r>
      <w:r>
        <w:t xml:space="preserve">тия коммунальной инфра</w:t>
      </w:r>
      <w:r>
        <w:t xml:space="preserve">структуры на территории муниципальных образований Новосибирской области, обеспечения надежного газоснабжения потребителей и повышения уровня газификации, обеспечения населения качественной питьевой водой, отвечающей требованиям безопасности и безвредности.</w:t>
      </w:r>
      <w:r/>
    </w:p>
    <w:p>
      <w:pPr>
        <w:ind w:firstLine="709"/>
        <w:jc w:val="both"/>
        <w:widowControl w:val="off"/>
      </w:pPr>
      <w:r>
        <w:t xml:space="preserve">В целях формирования здорового образа жизни у населения создавались благоприятные условия для занятий физической культурой и спортом. В Новосибирской области развивается </w:t>
      </w:r>
      <w:r>
        <w:t xml:space="preserve">порядка</w:t>
      </w:r>
      <w:r>
        <w:t xml:space="preserve"> 1</w:t>
      </w:r>
      <w:r>
        <w:t xml:space="preserve">2</w:t>
      </w:r>
      <w:r>
        <w:t xml:space="preserve">0 видов спорта, доля жителей, систематически занимающихся физической культурой и спортом, составляет </w:t>
      </w:r>
      <w:r>
        <w:t xml:space="preserve">5</w:t>
      </w:r>
      <w:r>
        <w:t xml:space="preserve">3</w:t>
      </w:r>
      <w:r>
        <w:t xml:space="preserve">% (более 1,</w:t>
      </w:r>
      <w:r>
        <w:t xml:space="preserve">2</w:t>
      </w:r>
      <w:r>
        <w:t xml:space="preserve"> </w:t>
      </w:r>
      <w:r>
        <w:t xml:space="preserve">млн</w:t>
      </w:r>
      <w:r>
        <w:t xml:space="preserve"> человек). Наибольшей популярностью пользуются виды спорта: плавание, футбол, баскетбол, волейбол, шахматы, л</w:t>
      </w:r>
      <w:r>
        <w:t xml:space="preserve">е</w:t>
      </w:r>
      <w:r>
        <w:t xml:space="preserve">гкая атлетика, хоккей и различные виды единоборств. В </w:t>
      </w:r>
      <w:r>
        <w:t xml:space="preserve">2024 год</w:t>
      </w:r>
      <w:r>
        <w:t xml:space="preserve">у проведено </w:t>
      </w:r>
      <w:r>
        <w:t xml:space="preserve">1105 спортивных и физкультурных</w:t>
      </w:r>
      <w:r>
        <w:t xml:space="preserve"> мероприятий.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Продолж</w:t>
      </w:r>
      <w:r>
        <w:rPr>
          <w:bCs/>
        </w:rPr>
        <w:t xml:space="preserve">алась</w:t>
      </w:r>
      <w:r>
        <w:rPr>
          <w:bCs/>
        </w:rPr>
        <w:t xml:space="preserve"> работа по реализации комплекса мер, направленных на обеспечени</w:t>
      </w:r>
      <w:r>
        <w:rPr>
          <w:bCs/>
        </w:rPr>
        <w:t xml:space="preserve">е</w:t>
      </w:r>
      <w:r>
        <w:rPr>
          <w:bCs/>
        </w:rPr>
        <w:t xml:space="preserve"> охраны материнства и детства. </w:t>
      </w:r>
      <w:r>
        <w:rPr>
          <w:bCs/>
        </w:rPr>
        <w:t xml:space="preserve">В</w:t>
      </w:r>
      <w:r>
        <w:rPr>
          <w:bCs/>
        </w:rPr>
        <w:t xml:space="preserve"> Новосибирской области</w:t>
      </w:r>
      <w:r>
        <w:rPr>
          <w:bCs/>
        </w:rPr>
        <w:t xml:space="preserve"> осуществляют деятельность</w:t>
      </w:r>
      <w:r>
        <w:rPr>
          <w:bCs/>
        </w:rPr>
        <w:t xml:space="preserve"> 38 акушерских стационаров. </w:t>
      </w:r>
      <w:r>
        <w:rPr>
          <w:bCs/>
        </w:rPr>
        <w:t xml:space="preserve">Введение </w:t>
      </w:r>
      <w:r>
        <w:rPr>
          <w:bCs/>
        </w:rPr>
        <w:t xml:space="preserve">в эксплуатацию нов</w:t>
      </w:r>
      <w:r>
        <w:rPr>
          <w:bCs/>
        </w:rPr>
        <w:t xml:space="preserve">ого</w:t>
      </w:r>
      <w:r>
        <w:rPr>
          <w:bCs/>
        </w:rPr>
        <w:t xml:space="preserve"> корпус</w:t>
      </w:r>
      <w:r>
        <w:rPr>
          <w:bCs/>
        </w:rPr>
        <w:t xml:space="preserve">а</w:t>
      </w:r>
      <w:r>
        <w:rPr>
          <w:bCs/>
        </w:rPr>
        <w:t xml:space="preserve"> областного перинатального центра </w:t>
      </w:r>
      <w:r>
        <w:rPr>
          <w:bCs/>
        </w:rPr>
        <w:t xml:space="preserve">позволило</w:t>
      </w:r>
      <w:r>
        <w:rPr>
          <w:bCs/>
        </w:rPr>
        <w:t xml:space="preserve"> </w:t>
      </w:r>
      <w:r>
        <w:rPr>
          <w:bCs/>
        </w:rPr>
        <w:t xml:space="preserve">в</w:t>
      </w:r>
      <w:r>
        <w:rPr>
          <w:bCs/>
        </w:rPr>
        <w:t xml:space="preserve">ыстро</w:t>
      </w:r>
      <w:r>
        <w:rPr>
          <w:bCs/>
        </w:rPr>
        <w:t xml:space="preserve">ить</w:t>
      </w:r>
      <w:r>
        <w:rPr>
          <w:bCs/>
        </w:rPr>
        <w:t xml:space="preserve"> трехуровнев</w:t>
      </w:r>
      <w:r>
        <w:rPr>
          <w:bCs/>
        </w:rPr>
        <w:t xml:space="preserve">ую</w:t>
      </w:r>
      <w:r>
        <w:rPr>
          <w:bCs/>
        </w:rPr>
        <w:t xml:space="preserve"> систем</w:t>
      </w:r>
      <w:r>
        <w:rPr>
          <w:bCs/>
        </w:rPr>
        <w:t xml:space="preserve">у</w:t>
      </w:r>
      <w:r>
        <w:rPr>
          <w:bCs/>
        </w:rPr>
        <w:t xml:space="preserve"> оказания акушерско-гинекологической помощи, оптимизирова</w:t>
      </w:r>
      <w:r>
        <w:rPr>
          <w:bCs/>
        </w:rPr>
        <w:t xml:space="preserve">ть</w:t>
      </w:r>
      <w:r>
        <w:rPr>
          <w:bCs/>
        </w:rPr>
        <w:t xml:space="preserve"> работ</w:t>
      </w:r>
      <w:r>
        <w:rPr>
          <w:bCs/>
        </w:rPr>
        <w:t xml:space="preserve">у</w:t>
      </w:r>
      <w:r>
        <w:rPr>
          <w:bCs/>
        </w:rPr>
        <w:t xml:space="preserve"> отделения экстренной и плановой консультативной помощи и </w:t>
      </w:r>
      <w:r>
        <w:rPr>
          <w:bCs/>
        </w:rPr>
        <w:t xml:space="preserve">выверить</w:t>
      </w:r>
      <w:r>
        <w:rPr>
          <w:bCs/>
        </w:rPr>
        <w:t xml:space="preserve"> маршрутизаци</w:t>
      </w:r>
      <w:r>
        <w:rPr>
          <w:bCs/>
        </w:rPr>
        <w:t xml:space="preserve">ю</w:t>
      </w:r>
      <w:r>
        <w:rPr>
          <w:bCs/>
        </w:rPr>
        <w:t xml:space="preserve"> новорожденных со своевременным вывозом детей из муниципальных районов </w:t>
      </w:r>
      <w:r>
        <w:rPr>
          <w:bCs/>
        </w:rPr>
        <w:t xml:space="preserve">Новосибирской области </w:t>
      </w:r>
      <w:r>
        <w:rPr>
          <w:bCs/>
        </w:rPr>
        <w:t xml:space="preserve">в медицинские организации г</w:t>
      </w:r>
      <w:r>
        <w:rPr>
          <w:bCs/>
        </w:rPr>
        <w:t xml:space="preserve">. </w:t>
      </w:r>
      <w:r>
        <w:rPr>
          <w:bCs/>
        </w:rPr>
        <w:t xml:space="preserve">Новосибирска, имеющие возможности для более высокого уровня оказания медицинской помощи. </w:t>
      </w:r>
      <w:r>
        <w:rPr>
          <w:bCs/>
        </w:rPr>
        <w:t xml:space="preserve">На реализацию Территориальной программы государственных гарантий бесплатного оказания гражданам медицинской помощи в Новосибирской области в 2024 году направлено 83,4 млрд рублей, в том числе из средств областного бюджета</w:t>
      </w:r>
      <w:r>
        <w:rPr>
          <w:bCs/>
        </w:rPr>
        <w:t xml:space="preserve"> Новосибирской области</w:t>
      </w:r>
      <w:r>
        <w:rPr>
          <w:bCs/>
        </w:rPr>
        <w:t xml:space="preserve"> 24,7 млрд рублей, территориальной программы ОМС </w:t>
      </w:r>
      <w:r>
        <w:rPr>
          <w:bCs/>
        </w:rPr>
        <w:t xml:space="preserve">– </w:t>
      </w:r>
      <w:r>
        <w:rPr>
          <w:bCs/>
        </w:rPr>
        <w:t xml:space="preserve">58,6 млрд рублей.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widowControl w:val="off"/>
        <w:tabs>
          <w:tab w:val="left" w:pos="3331" w:leader="none"/>
          <w:tab w:val="left" w:pos="4182" w:leader="none"/>
          <w:tab w:val="left" w:pos="4607" w:leader="none"/>
        </w:tabs>
      </w:pPr>
      <w:r>
        <w:t xml:space="preserve">В рамках реализации </w:t>
      </w:r>
      <w:r>
        <w:t xml:space="preserve">р</w:t>
      </w:r>
      <w:r>
        <w:t xml:space="preserve">егиональн</w:t>
      </w:r>
      <w:r>
        <w:t xml:space="preserve">ых</w:t>
      </w:r>
      <w:r>
        <w:t xml:space="preserve"> проект</w:t>
      </w:r>
      <w:r>
        <w:t xml:space="preserve">ов «Культурная среда», «Творческие люди» и «Цифровая экономика» национального проекта «Культура» в 2024 году проведено 64 мероприятия, направленных на </w:t>
      </w:r>
      <w:r>
        <w:t xml:space="preserve">модернизацию инфраструктуры учреждений культуры, поддержку их работников и талантливой молод</w:t>
      </w:r>
      <w:r>
        <w:t xml:space="preserve">е</w:t>
      </w:r>
      <w:r>
        <w:t xml:space="preserve">жи, развитие творческого потенциала жителей и обеспечение доступа к наследию через цифровые ресурсы культуры.</w:t>
      </w:r>
      <w:r/>
    </w:p>
    <w:p>
      <w:pPr>
        <w:ind w:firstLine="709"/>
        <w:jc w:val="both"/>
        <w:widowControl w:val="off"/>
        <w:rPr>
          <w:bCs/>
          <w:i/>
          <w:highlight w:val="none"/>
          <w:u w:val="single"/>
        </w:rPr>
      </w:pPr>
      <w:r>
        <w:rPr>
          <w:i/>
          <w:u w:val="single"/>
        </w:rPr>
        <w:t xml:space="preserve">6. Молодежная политика</w:t>
      </w:r>
      <w:r>
        <w:rPr>
          <w:bCs/>
          <w:i/>
          <w:highlight w:val="none"/>
          <w:u w:val="single"/>
        </w:rPr>
      </w:r>
      <w:r>
        <w:rPr>
          <w:bCs/>
          <w:i/>
          <w:highlight w:val="none"/>
          <w:u w:val="single"/>
        </w:rPr>
      </w:r>
    </w:p>
    <w:p>
      <w:pPr>
        <w:ind w:firstLine="682"/>
        <w:jc w:val="both"/>
      </w:pPr>
      <w:r>
        <w:t xml:space="preserve">В Новосибирской области реализуется региональная программа</w:t>
      </w:r>
      <w:r>
        <w:t xml:space="preserve"> Новосибирской области «Содействие занятости молодежи в Новосибирской области на период до 2030 года», в которую включены мероприятия, направленные на создание условий для реализации профессионального, трудового и предпринимательского потенциала молодежи. </w:t>
      </w:r>
      <w:r/>
    </w:p>
    <w:p>
      <w:pPr>
        <w:ind w:firstLine="682"/>
        <w:jc w:val="both"/>
        <w:rPr>
          <w:highlight w:val="none"/>
        </w:rPr>
      </w:pPr>
      <w:r>
        <w:t xml:space="preserve">В </w:t>
      </w:r>
      <w:r>
        <w:t xml:space="preserve">202</w:t>
      </w:r>
      <w:r>
        <w:t xml:space="preserve">4</w:t>
      </w:r>
      <w:r>
        <w:t xml:space="preserve"> год</w:t>
      </w:r>
      <w:r>
        <w:t xml:space="preserve">у содействие в поиске подходящей работы оказано около </w:t>
      </w:r>
      <w:r>
        <w:t xml:space="preserve">13,0</w:t>
      </w:r>
      <w:r>
        <w:t xml:space="preserve"> </w:t>
      </w:r>
      <w:r>
        <w:t xml:space="preserve">тыс. гражданам в возрасте 14</w:t>
      </w:r>
      <w:r>
        <w:rPr>
          <w:bCs/>
        </w:rPr>
        <w:t xml:space="preserve">–</w:t>
      </w:r>
      <w:r>
        <w:t xml:space="preserve">35 лет, в том числе </w:t>
      </w:r>
      <w:r>
        <w:t xml:space="preserve">439</w:t>
      </w:r>
      <w:r>
        <w:t xml:space="preserve"> выпускникам профессиональных образовательных организаций</w:t>
      </w:r>
      <w:r>
        <w:t xml:space="preserve"> (далее – выпускники)</w:t>
      </w:r>
      <w:r>
        <w:t xml:space="preserve">. </w:t>
      </w:r>
      <w:r>
        <w:t xml:space="preserve">Нашли работу или доходное занятие 7,8 тыс. человек из</w:t>
      </w:r>
      <w:r>
        <w:t xml:space="preserve"> числа обратившихся</w:t>
      </w:r>
      <w:r>
        <w:t xml:space="preserve">,</w:t>
      </w:r>
      <w:r>
        <w:t xml:space="preserve"> в том числе </w:t>
      </w:r>
      <w:r>
        <w:t xml:space="preserve">332</w:t>
      </w:r>
      <w:r>
        <w:t xml:space="preserve"> </w:t>
      </w:r>
      <w:r>
        <w:t xml:space="preserve">выпускник</w:t>
      </w:r>
      <w:r>
        <w:t xml:space="preserve">а</w:t>
      </w:r>
      <w:r>
        <w:t xml:space="preserve">.</w:t>
      </w:r>
      <w:r>
        <w:t xml:space="preserve"> </w:t>
      </w:r>
      <w:r>
        <w:t xml:space="preserve">В период вынужденной безработицы </w:t>
      </w:r>
      <w:r>
        <w:t xml:space="preserve">6,1</w:t>
      </w:r>
      <w:r>
        <w:t xml:space="preserve"> тыс. молодых людей получи</w:t>
      </w:r>
      <w:r>
        <w:t xml:space="preserve">ли социальную поддержку в виде пособий по безработице, в том числе </w:t>
      </w:r>
      <w:r>
        <w:t xml:space="preserve">304 выпускника. Для </w:t>
      </w:r>
      <w:r>
        <w:t xml:space="preserve">183</w:t>
      </w:r>
      <w:r>
        <w:t xml:space="preserve"> граждан молодого возраста, испытывающих трудности в поиске работы, </w:t>
      </w:r>
      <w:r>
        <w:t xml:space="preserve">и </w:t>
      </w:r>
      <w:r>
        <w:t xml:space="preserve">7,4 </w:t>
      </w:r>
      <w:r>
        <w:t xml:space="preserve">тыс.</w:t>
      </w:r>
      <w:r>
        <w:t xml:space="preserve"> несовершеннолетних граждан в свободное от учебы время организовано временное трудоустройство. На профессиональное обучение востребованным на рынке труда профессиям направлен</w:t>
      </w:r>
      <w:r>
        <w:t xml:space="preserve">о</w:t>
      </w:r>
      <w:r>
        <w:t xml:space="preserve"> 736</w:t>
      </w:r>
      <w:r>
        <w:t xml:space="preserve"> </w:t>
      </w:r>
      <w:r>
        <w:t xml:space="preserve">безработных граждан молодого возраста. Содействие в организации самозанятости получили </w:t>
      </w:r>
      <w:r>
        <w:t xml:space="preserve">394</w:t>
      </w:r>
      <w:r>
        <w:t xml:space="preserve"> </w:t>
      </w:r>
      <w:r>
        <w:t xml:space="preserve">молод</w:t>
      </w:r>
      <w:r>
        <w:t xml:space="preserve">ых безработных граждан</w:t>
      </w:r>
      <w:r>
        <w:t xml:space="preserve">ина, в результате собственное дело организовали </w:t>
      </w:r>
      <w:r>
        <w:t xml:space="preserve">1</w:t>
      </w:r>
      <w:r>
        <w:t xml:space="preserve">64 </w:t>
      </w:r>
      <w:r>
        <w:t xml:space="preserve">человека, относящих</w:t>
      </w:r>
      <w:r>
        <w:t xml:space="preserve">ся к категории молодежи</w:t>
      </w:r>
      <w:r>
        <w:t xml:space="preserve">, е</w:t>
      </w:r>
      <w:r>
        <w:t xml:space="preserve">диновременн</w:t>
      </w:r>
      <w:r>
        <w:t xml:space="preserve">ую</w:t>
      </w:r>
      <w:r>
        <w:t xml:space="preserve"> помощь на организацию собственного дела в размере до 350 тыс. рублей получили</w:t>
      </w:r>
      <w:r>
        <w:t xml:space="preserve"> </w:t>
      </w:r>
      <w:r>
        <w:t xml:space="preserve">66 </w:t>
      </w:r>
      <w:bookmarkStart w:id="0" w:name="_GoBack"/>
      <w:r/>
      <w:bookmarkEnd w:id="0"/>
      <w:r>
        <w:t xml:space="preserve">человек</w:t>
      </w:r>
      <w: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682"/>
        <w:jc w:val="both"/>
      </w:pPr>
      <w:r>
        <w:rPr>
          <w:highlight w:val="none"/>
        </w:rPr>
        <w:t xml:space="preserve">В рамках регионального проекта «Творческие люди» национального проекта «Культура» в течение 2024 года проведены мероприятия, затрагивающие права и интересы молодежи:</w:t>
      </w:r>
      <w:r>
        <w:rPr>
          <w:highlight w:val="none"/>
        </w:rPr>
        <w:t xml:space="preserve"> Межрегиональный конкурс исполнителей народной музыки «Песенная артель»;</w:t>
      </w:r>
      <w:r>
        <w:t xml:space="preserve"> </w:t>
      </w:r>
      <w:r>
        <w:rPr>
          <w:highlight w:val="none"/>
        </w:rPr>
        <w:t xml:space="preserve">межрегиональные фестивали «На крыльях джаза» и </w:t>
      </w:r>
      <w:r>
        <w:rPr>
          <w:highlight w:val="none"/>
        </w:rPr>
        <w:t xml:space="preserve"> креативной анимации «ДВИЖ»;</w:t>
      </w:r>
      <w:r>
        <w:t xml:space="preserve"> </w:t>
      </w:r>
      <w:r>
        <w:rPr>
          <w:highlight w:val="none"/>
        </w:rPr>
        <w:t xml:space="preserve">межрегиональный конкурс исполнителей на балалайке и домре «Золотые струны Сибири»;</w:t>
      </w:r>
      <w:r>
        <w:t xml:space="preserve"> </w:t>
      </w:r>
      <w:r>
        <w:rPr>
          <w:highlight w:val="none"/>
        </w:rPr>
        <w:t xml:space="preserve">Открытый Межрегиональный конкурс режиссерского и актерского мастерства «Золотая ласточка».</w:t>
      </w:r>
      <w:r>
        <w:t xml:space="preserve"> </w:t>
      </w:r>
      <w:r>
        <w:rPr>
          <w:highlight w:val="none"/>
        </w:rPr>
        <w:t xml:space="preserve">Регион активно включился в реализацию программы социальной поддержки молодежи «Пушкинская карта».</w:t>
      </w:r>
      <w:r/>
    </w:p>
    <w:p>
      <w:pPr>
        <w:ind w:firstLine="682"/>
        <w:jc w:val="both"/>
        <w:rPr>
          <w:highlight w:val="none"/>
        </w:rPr>
      </w:pPr>
      <w:r>
        <w:t xml:space="preserve">С целью выявления, развития и поддержки перспективных молодых людей, обладающих высоким уро</w:t>
      </w:r>
      <w:r>
        <w:t xml:space="preserve">внем развития лидерских качеств, с 2024 года формируется Молодежный кадровый резерв Новосибирской области. </w:t>
      </w:r>
      <w:r>
        <w:t xml:space="preserve">П</w:t>
      </w:r>
      <w:r>
        <w:t xml:space="preserve">о результатам прохождения обучения в Молодежный кадровый резерв зачислен</w:t>
      </w:r>
      <w:r>
        <w:t xml:space="preserve">о</w:t>
      </w:r>
      <w:r>
        <w:t xml:space="preserve"> 122 человека.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682"/>
        <w:jc w:val="both"/>
      </w:pPr>
      <w:r>
        <w:rPr>
          <w:highlight w:val="none"/>
        </w:rPr>
        <w:t xml:space="preserve">В 2024 году </w:t>
      </w:r>
      <w:r>
        <w:rPr>
          <w:highlight w:val="none"/>
        </w:rPr>
        <w:t xml:space="preserve">в рамках государственной программы Новосибирской области «Научно-технологическое развитие Новосибирской области»</w:t>
      </w:r>
      <w:r>
        <w:rPr>
          <w:highlight w:val="none"/>
        </w:rPr>
        <w:t xml:space="preserve"> были проведены конкурсы Правительства Новосибирской области на предоставление грантов, премий и стипендий молодым ученым. По итогам проведения трех конкурсов было поддержано 69 заявок, в том числе 20 стипендий, 19 премий, а также 30 грантов на р</w:t>
      </w:r>
      <w:r>
        <w:rPr>
          <w:highlight w:val="none"/>
        </w:rPr>
        <w:t xml:space="preserve">еализацию проектов молодыми учеными. Общий объем финансирования из областного бюджета Новосибирской области составил 22,8 млн рублей. </w:t>
      </w:r>
      <w:r>
        <w:rPr>
          <w:highlight w:val="none"/>
        </w:rPr>
        <w:t xml:space="preserve">С 2023 года регионом поддерживается создание молодежных лабораторий. Созданы 3 молодежные лаборатории с общим объемом финансирования в 2024 году 45 млн рублей.</w:t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bCs/>
          <w:i/>
          <w:highlight w:val="none"/>
          <w:u w:val="single"/>
        </w:rPr>
      </w:pPr>
      <w:r>
        <w:t xml:space="preserve">7.</w:t>
      </w:r>
      <w:r>
        <w:rPr>
          <w:i/>
          <w:u w:val="single"/>
        </w:rPr>
        <w:t xml:space="preserve"> Развитие социального партнерства</w:t>
      </w:r>
      <w:r>
        <w:rPr>
          <w:bCs/>
          <w:i/>
          <w:highlight w:val="none"/>
          <w:u w:val="single"/>
        </w:rPr>
      </w:r>
      <w:r>
        <w:rPr>
          <w:bCs/>
          <w:i/>
          <w:highlight w:val="none"/>
          <w:u w:val="single"/>
        </w:rPr>
      </w:r>
    </w:p>
    <w:p>
      <w:pPr>
        <w:ind w:firstLine="709"/>
        <w:jc w:val="both"/>
        <w:widowControl w:val="off"/>
      </w:pPr>
      <w:r>
        <w:t xml:space="preserve">Продолжалась работа по дальнейшему развитию коллективно-договорного регулирования на территории Новосибирской области. В </w:t>
      </w:r>
      <w:r>
        <w:t xml:space="preserve">202</w:t>
      </w:r>
      <w:r>
        <w:t xml:space="preserve">4</w:t>
      </w:r>
      <w:r>
        <w:t xml:space="preserve"> год</w:t>
      </w:r>
      <w:r>
        <w:t xml:space="preserve">у действовали </w:t>
      </w:r>
      <w:r>
        <w:t xml:space="preserve">Региональное соглашение, </w:t>
      </w:r>
      <w:r>
        <w:t xml:space="preserve">12 региональных отраслевых соглашений, 34 территориальных соглашения, 93 территориальных отраслевых соглашения, 4941 зарегистрированный коллективный договор.</w:t>
      </w:r>
      <w:r>
        <w:t xml:space="preserve"> Коллективно-договорными отношениями были охвачены </w:t>
      </w:r>
      <w:r>
        <w:t xml:space="preserve">69</w:t>
      </w:r>
      <w:r>
        <w:t xml:space="preserve">% работников крупных и средних организаций Новосибирской области. </w:t>
      </w:r>
      <w:r/>
    </w:p>
    <w:p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Обязательства Регионального соглашения распространяются на 2512 организаций, с численностью работников более 180 тыс. человек. По сравнению с предыдущим Региональным соглашением количество организаций-участников увеличилось на 234 за счет создания в 2023</w:t>
      </w:r>
      <w:r>
        <w:rPr>
          <w:bCs/>
        </w:rPr>
        <w:t xml:space="preserve">–</w:t>
      </w:r>
      <w:r>
        <w:rPr>
          <w:color w:val="000000"/>
        </w:rPr>
        <w:t xml:space="preserve">2024 </w:t>
      </w:r>
      <w:r>
        <w:rPr>
          <w:color w:val="000000"/>
        </w:rPr>
        <w:t xml:space="preserve">год</w:t>
      </w:r>
      <w:r>
        <w:rPr>
          <w:color w:val="000000"/>
        </w:rPr>
        <w:t xml:space="preserve">ах</w:t>
      </w:r>
      <w:r>
        <w:rPr>
          <w:color w:val="000000"/>
        </w:rPr>
        <w:t xml:space="preserve"> отделений Новосибирского регионального союза объединения работодателей «Союз руководителей предприятий и работодателей» в 16 муниципальных образованиях Новосибирской области.</w:t>
      </w:r>
      <w:r>
        <w:rPr>
          <w:rFonts w:eastAsia="Calibri"/>
          <w:color w:val="000000"/>
          <w:lang w:eastAsia="en-US"/>
        </w:rPr>
      </w:r>
      <w:r>
        <w:rPr>
          <w:rFonts w:eastAsia="Calibri"/>
          <w:color w:val="000000"/>
          <w:lang w:eastAsia="en-US"/>
        </w:rPr>
      </w:r>
    </w:p>
    <w:p>
      <w:pPr>
        <w:ind w:firstLine="709"/>
        <w:jc w:val="both"/>
      </w:pPr>
      <w:r>
        <w:rPr>
          <w:rFonts w:eastAsia="Calibri"/>
          <w:color w:val="000000"/>
          <w:lang w:eastAsia="en-US"/>
        </w:rPr>
        <w:t xml:space="preserve">Проведено </w:t>
      </w:r>
      <w:r>
        <w:rPr>
          <w:rFonts w:eastAsia="Calibri"/>
          <w:color w:val="000000"/>
          <w:lang w:eastAsia="en-US"/>
        </w:rPr>
        <w:t xml:space="preserve">5 заседани</w:t>
      </w:r>
      <w:r>
        <w:rPr>
          <w:rFonts w:eastAsia="Calibri"/>
          <w:color w:val="000000"/>
          <w:lang w:eastAsia="en-US"/>
        </w:rPr>
        <w:t xml:space="preserve">й Новосибирской областной трехсторонней комиссии по регулированию социально-трудовых отношений, рассмотрено </w:t>
      </w:r>
      <w:r>
        <w:rPr>
          <w:rFonts w:eastAsia="Calibri"/>
          <w:color w:val="000000"/>
          <w:lang w:eastAsia="en-US"/>
        </w:rPr>
        <w:t xml:space="preserve">25</w:t>
      </w:r>
      <w:r>
        <w:rPr>
          <w:rFonts w:eastAsia="Calibri"/>
          <w:color w:val="000000"/>
          <w:lang w:eastAsia="en-US"/>
        </w:rPr>
        <w:t xml:space="preserve"> вопрос</w:t>
      </w:r>
      <w:r>
        <w:rPr>
          <w:rFonts w:eastAsia="Calibri"/>
          <w:color w:val="000000"/>
          <w:lang w:eastAsia="en-US"/>
        </w:rPr>
        <w:t xml:space="preserve">ов</w:t>
      </w:r>
      <w:r>
        <w:rPr>
          <w:rFonts w:eastAsia="Calibri"/>
          <w:color w:val="000000"/>
          <w:lang w:eastAsia="en-US"/>
        </w:rPr>
        <w:t xml:space="preserve">;</w:t>
      </w:r>
      <w:r>
        <w:rPr>
          <w:rFonts w:eastAsia="Calibri"/>
          <w:color w:val="000000"/>
          <w:lang w:eastAsia="en-US"/>
        </w:rPr>
        <w:t xml:space="preserve"> 113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заседани</w:t>
      </w:r>
      <w:r>
        <w:rPr>
          <w:rFonts w:eastAsia="Calibri"/>
          <w:color w:val="000000"/>
          <w:lang w:eastAsia="en-US"/>
        </w:rPr>
        <w:t xml:space="preserve">й</w:t>
      </w:r>
      <w:r>
        <w:rPr>
          <w:rFonts w:eastAsia="Calibri"/>
          <w:color w:val="000000"/>
          <w:lang w:eastAsia="en-US"/>
        </w:rPr>
        <w:t xml:space="preserve"> территориальных трехсторонних комиссий по регулированию социально трудовых отношений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рассмотрено 178</w:t>
      </w:r>
      <w:r>
        <w:rPr>
          <w:rFonts w:eastAsia="Calibri"/>
          <w:color w:val="000000"/>
          <w:lang w:eastAsia="en-US"/>
        </w:rPr>
        <w:t xml:space="preserve"> вопросов</w:t>
      </w:r>
      <w:r>
        <w:rPr>
          <w:rFonts w:eastAsia="Calibri"/>
          <w:color w:val="000000"/>
          <w:lang w:eastAsia="en-US"/>
        </w:rPr>
        <w:t xml:space="preserve">, </w:t>
      </w:r>
      <w:r>
        <w:t xml:space="preserve">осуществлен контроль за выполнением </w:t>
      </w:r>
      <w:r>
        <w:t xml:space="preserve">332 </w:t>
      </w:r>
      <w:r>
        <w:t xml:space="preserve">коллективных договоров и соглашений, оказана методическая и практическая помощь по их заключению. </w:t>
      </w:r>
      <w:r/>
    </w:p>
    <w:p>
      <w:pPr>
        <w:ind w:firstLine="709"/>
        <w:jc w:val="both"/>
        <w:widowControl w:val="off"/>
      </w:pPr>
      <w:r>
        <w:t xml:space="preserve">В целях привлечения общественного внимания к важности социальных вопросов на уровне организаций Новосибирской облас</w:t>
      </w:r>
      <w:r>
        <w:t xml:space="preserve">ти, демонстрации конкретных примеров решения социальных задач проведен региональный этап всероссийского конкурса «Российская организация высокой социальной эффективности», </w:t>
      </w:r>
      <w:r>
        <w:t xml:space="preserve">9 организаций признаны победителями регионального этапа и представили Новосибирскую область на федеральном этапе конкурса. По итогам федерального этапа всероссийского конкурса </w:t>
      </w:r>
      <w:r>
        <w:t xml:space="preserve">победителем в номинации «За развитие социального партнерства в организациях производственной сферы» </w:t>
      </w:r>
      <w:r>
        <w:t xml:space="preserve">стало </w:t>
      </w:r>
      <w:r>
        <w:t xml:space="preserve">АО «Новосибирс</w:t>
      </w:r>
      <w:r>
        <w:t xml:space="preserve">кий механический завод «Искра».</w:t>
      </w:r>
      <w:r/>
    </w:p>
    <w:p>
      <w:pPr>
        <w:ind w:firstLine="709"/>
        <w:jc w:val="both"/>
        <w:widowControl w:val="off"/>
      </w:pPr>
      <w:r>
        <w:t xml:space="preserve">В 2025 году деятельность Правительства Новосибирской области по выполнению обязательств Регионального соглашения будет продолжена и направлена на развитие экономики, рынка труда, социальной сферы, повышение уровня жизни населения. </w:t>
      </w:r>
      <w:r>
        <w:t xml:space="preserve">Одним из приоритетных направлений работы в сфере развития социального партнерства в 2025 году будет разработка и заключение Регионального соглашения на 2026–2028 годы.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>
        <w:numFmt w:val="decimal"/>
      </w:endnotePr>
      <w:type w:val="nextPage"/>
      <w:pgSz w:w="11906" w:h="16838" w:orient="portrait"/>
      <w:pgMar w:top="1134" w:right="567" w:bottom="1134" w:left="141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11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Subtitle Char"/>
    <w:basedOn w:val="697"/>
    <w:link w:val="711"/>
    <w:uiPriority w:val="11"/>
    <w:rPr>
      <w:sz w:val="24"/>
      <w:szCs w:val="24"/>
    </w:rPr>
  </w:style>
  <w:style w:type="character" w:styleId="684">
    <w:name w:val="Quote Char"/>
    <w:link w:val="713"/>
    <w:uiPriority w:val="29"/>
    <w:rPr>
      <w:i/>
    </w:rPr>
  </w:style>
  <w:style w:type="character" w:styleId="685">
    <w:name w:val="Intense Quote Char"/>
    <w:link w:val="715"/>
    <w:uiPriority w:val="30"/>
    <w:rPr>
      <w:i/>
    </w:rPr>
  </w:style>
  <w:style w:type="character" w:styleId="686">
    <w:name w:val="Footnote Text Char"/>
    <w:link w:val="846"/>
    <w:uiPriority w:val="99"/>
    <w:rPr>
      <w:sz w:val="18"/>
    </w:rPr>
  </w:style>
  <w:style w:type="paragraph" w:styleId="687" w:default="1">
    <w:name w:val="Normal"/>
    <w:qFormat/>
    <w:rPr>
      <w:sz w:val="28"/>
      <w:szCs w:val="28"/>
    </w:rPr>
  </w:style>
  <w:style w:type="paragraph" w:styleId="688">
    <w:name w:val="Heading 1"/>
    <w:basedOn w:val="687"/>
    <w:link w:val="888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paragraph" w:styleId="711">
    <w:name w:val="Subtitle"/>
    <w:basedOn w:val="687"/>
    <w:next w:val="68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97"/>
    <w:link w:val="711"/>
    <w:uiPriority w:val="11"/>
    <w:rPr>
      <w:sz w:val="24"/>
      <w:szCs w:val="24"/>
    </w:rPr>
  </w:style>
  <w:style w:type="paragraph" w:styleId="713">
    <w:name w:val="Quote"/>
    <w:basedOn w:val="687"/>
    <w:next w:val="687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7"/>
    <w:next w:val="687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97"/>
    <w:uiPriority w:val="99"/>
  </w:style>
  <w:style w:type="character" w:styleId="718" w:customStyle="1">
    <w:name w:val="Footer Char"/>
    <w:basedOn w:val="697"/>
    <w:uiPriority w:val="99"/>
  </w:style>
  <w:style w:type="paragraph" w:styleId="719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 w:customStyle="1">
    <w:name w:val="Table Grid Light"/>
    <w:basedOn w:val="69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9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>
    <w:name w:val="Grid Table 7 Colorful"/>
    <w:basedOn w:val="69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basedOn w:val="69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basedOn w:val="69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basedOn w:val="69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basedOn w:val="69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basedOn w:val="69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basedOn w:val="69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basedOn w:val="69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basedOn w:val="69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basedOn w:val="69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basedOn w:val="69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basedOn w:val="69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basedOn w:val="69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9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character" w:styleId="849" w:customStyle="1">
    <w:name w:val="Endnote Text Char"/>
    <w:uiPriority w:val="99"/>
    <w:rPr>
      <w:sz w:val="20"/>
    </w:rPr>
  </w:style>
  <w:style w:type="paragraph" w:styleId="850">
    <w:name w:val="toc 1"/>
    <w:basedOn w:val="687"/>
    <w:next w:val="687"/>
    <w:uiPriority w:val="39"/>
    <w:unhideWhenUsed/>
    <w:pPr>
      <w:spacing w:after="57"/>
    </w:pPr>
  </w:style>
  <w:style w:type="paragraph" w:styleId="851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2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3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4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5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6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7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58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7"/>
    <w:next w:val="687"/>
    <w:uiPriority w:val="99"/>
    <w:unhideWhenUsed/>
  </w:style>
  <w:style w:type="paragraph" w:styleId="861">
    <w:name w:val="Header"/>
    <w:basedOn w:val="687"/>
    <w:link w:val="862"/>
    <w:uiPriority w:val="99"/>
    <w:pPr>
      <w:tabs>
        <w:tab w:val="center" w:pos="4153" w:leader="none"/>
        <w:tab w:val="right" w:pos="8306" w:leader="none"/>
      </w:tabs>
    </w:pPr>
  </w:style>
  <w:style w:type="character" w:styleId="862" w:customStyle="1">
    <w:name w:val="Верхний колонтитул Знак"/>
    <w:link w:val="861"/>
    <w:uiPriority w:val="99"/>
    <w:rPr>
      <w:sz w:val="28"/>
      <w:szCs w:val="28"/>
      <w:lang w:val="ru-RU" w:eastAsia="ru-RU" w:bidi="ar-SA"/>
    </w:rPr>
  </w:style>
  <w:style w:type="character" w:styleId="863">
    <w:name w:val="Hyperlink"/>
    <w:rPr>
      <w:rFonts w:cs="Times New Roman"/>
      <w:color w:val="0000ff"/>
      <w:u w:val="single"/>
    </w:rPr>
  </w:style>
  <w:style w:type="paragraph" w:styleId="864">
    <w:name w:val="Body Text 2"/>
    <w:basedOn w:val="687"/>
    <w:link w:val="865"/>
    <w:pPr>
      <w:jc w:val="both"/>
    </w:pPr>
  </w:style>
  <w:style w:type="character" w:styleId="865" w:customStyle="1">
    <w:name w:val="Основной текст 2 Знак"/>
    <w:link w:val="864"/>
    <w:rPr>
      <w:sz w:val="28"/>
      <w:szCs w:val="28"/>
      <w:lang w:val="ru-RU" w:eastAsia="ru-RU" w:bidi="ar-SA"/>
    </w:rPr>
  </w:style>
  <w:style w:type="paragraph" w:styleId="866">
    <w:name w:val="Body Text 3"/>
    <w:basedOn w:val="687"/>
    <w:link w:val="867"/>
    <w:pPr>
      <w:jc w:val="center"/>
    </w:pPr>
    <w:rPr>
      <w:b/>
      <w:bCs/>
    </w:rPr>
  </w:style>
  <w:style w:type="character" w:styleId="867" w:customStyle="1">
    <w:name w:val="Основной текст 3 Знак"/>
    <w:link w:val="866"/>
    <w:rPr>
      <w:b/>
      <w:bCs/>
      <w:sz w:val="28"/>
      <w:szCs w:val="28"/>
      <w:lang w:val="ru-RU" w:eastAsia="ru-RU" w:bidi="ar-SA"/>
    </w:rPr>
  </w:style>
  <w:style w:type="table" w:styleId="868">
    <w:name w:val="Table Grid"/>
    <w:basedOn w:val="698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 w:customStyle="1">
    <w:name w:val="Цитата1"/>
    <w:basedOn w:val="687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71">
    <w:name w:val="Footer"/>
    <w:basedOn w:val="687"/>
    <w:link w:val="879"/>
    <w:uiPriority w:val="99"/>
    <w:pPr>
      <w:tabs>
        <w:tab w:val="center" w:pos="4677" w:leader="none"/>
        <w:tab w:val="right" w:pos="9355" w:leader="none"/>
      </w:tabs>
    </w:pPr>
  </w:style>
  <w:style w:type="character" w:styleId="872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874" w:customStyle="1">
    <w:name w:val="Style5"/>
    <w:basedOn w:val="687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75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76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7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78" w:customStyle="1">
    <w:name w:val="p5"/>
    <w:basedOn w:val="687"/>
    <w:pPr>
      <w:spacing w:before="100" w:beforeAutospacing="1" w:after="100" w:afterAutospacing="1"/>
    </w:pPr>
    <w:rPr>
      <w:sz w:val="24"/>
      <w:szCs w:val="24"/>
    </w:rPr>
  </w:style>
  <w:style w:type="character" w:styleId="879" w:customStyle="1">
    <w:name w:val="Нижний колонтитул Знак"/>
    <w:link w:val="871"/>
    <w:uiPriority w:val="99"/>
    <w:rPr>
      <w:sz w:val="28"/>
      <w:szCs w:val="28"/>
    </w:rPr>
  </w:style>
  <w:style w:type="paragraph" w:styleId="880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81">
    <w:name w:val="endnote text"/>
    <w:basedOn w:val="687"/>
    <w:link w:val="882"/>
    <w:uiPriority w:val="99"/>
    <w:semiHidden/>
    <w:unhideWhenUsed/>
    <w:rPr>
      <w:sz w:val="20"/>
      <w:szCs w:val="20"/>
    </w:rPr>
  </w:style>
  <w:style w:type="character" w:styleId="882" w:customStyle="1">
    <w:name w:val="Текст концевой сноски Знак"/>
    <w:basedOn w:val="697"/>
    <w:link w:val="881"/>
    <w:uiPriority w:val="99"/>
    <w:semiHidden/>
  </w:style>
  <w:style w:type="character" w:styleId="883">
    <w:name w:val="endnote reference"/>
    <w:uiPriority w:val="99"/>
    <w:unhideWhenUsed/>
    <w:rPr>
      <w:vertAlign w:val="superscript"/>
    </w:rPr>
  </w:style>
  <w:style w:type="paragraph" w:styleId="884">
    <w:name w:val="No Spacing"/>
    <w:link w:val="885"/>
    <w:uiPriority w:val="1"/>
    <w:qFormat/>
    <w:rPr>
      <w:sz w:val="24"/>
      <w:szCs w:val="24"/>
    </w:rPr>
  </w:style>
  <w:style w:type="character" w:styleId="885" w:customStyle="1">
    <w:name w:val="Без интервала Знак"/>
    <w:link w:val="884"/>
    <w:uiPriority w:val="1"/>
    <w:rPr>
      <w:sz w:val="24"/>
      <w:szCs w:val="24"/>
    </w:rPr>
  </w:style>
  <w:style w:type="paragraph" w:styleId="886" w:customStyle="1">
    <w:name w:val="rtejustify"/>
    <w:basedOn w:val="687"/>
    <w:pPr>
      <w:spacing w:before="100" w:beforeAutospacing="1" w:after="100" w:afterAutospacing="1"/>
    </w:pPr>
    <w:rPr>
      <w:sz w:val="24"/>
      <w:szCs w:val="24"/>
    </w:rPr>
  </w:style>
  <w:style w:type="character" w:styleId="887">
    <w:name w:val="Strong"/>
    <w:basedOn w:val="697"/>
    <w:uiPriority w:val="22"/>
    <w:qFormat/>
    <w:rPr>
      <w:b/>
      <w:bCs/>
    </w:rPr>
  </w:style>
  <w:style w:type="character" w:styleId="888" w:customStyle="1">
    <w:name w:val="Заголовок 1 Знак"/>
    <w:basedOn w:val="697"/>
    <w:link w:val="688"/>
    <w:uiPriority w:val="9"/>
    <w:rPr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6571-0185-402E-A06B-E6004294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dc:description/>
  <cp:revision>11</cp:revision>
  <dcterms:created xsi:type="dcterms:W3CDTF">2024-08-13T07:57:00Z</dcterms:created>
  <dcterms:modified xsi:type="dcterms:W3CDTF">2025-03-14T05:38:36Z</dcterms:modified>
</cp:coreProperties>
</file>