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D64" w:rsidRDefault="00EC62B8">
      <w:pPr>
        <w:tabs>
          <w:tab w:val="right" w:pos="8306"/>
        </w:tabs>
        <w:ind w:right="-144"/>
        <w:jc w:val="center"/>
        <w:rPr>
          <w:b/>
        </w:rPr>
      </w:pPr>
      <w:r>
        <w:rPr>
          <w:b/>
        </w:rPr>
        <w:t>ИНФОРМАЦИЯ</w:t>
      </w:r>
    </w:p>
    <w:p w:rsidR="00A56D64" w:rsidRDefault="00EC62B8">
      <w:pPr>
        <w:tabs>
          <w:tab w:val="right" w:pos="8306"/>
        </w:tabs>
        <w:ind w:right="-144"/>
        <w:jc w:val="center"/>
        <w:rPr>
          <w:b/>
        </w:rPr>
      </w:pPr>
      <w:proofErr w:type="gramStart"/>
      <w:r>
        <w:rPr>
          <w:b/>
        </w:rPr>
        <w:t>о</w:t>
      </w:r>
      <w:proofErr w:type="gramEnd"/>
      <w:r>
        <w:rPr>
          <w:b/>
        </w:rPr>
        <w:t xml:space="preserve"> реализации Правительством Новосибирской области в 2023 году обязательств Регионального соглашения между областным объединением организаций профсоюзов, областными объединениями работодателей и Правительством Новосибирской области на 2023</w:t>
      </w:r>
      <w:r>
        <w:t>–</w:t>
      </w:r>
      <w:r>
        <w:rPr>
          <w:b/>
        </w:rPr>
        <w:t xml:space="preserve">2025 годы </w:t>
      </w:r>
    </w:p>
    <w:p w:rsidR="00A56D64" w:rsidRDefault="00EC62B8">
      <w:pPr>
        <w:tabs>
          <w:tab w:val="right" w:pos="8306"/>
        </w:tabs>
        <w:ind w:right="-144"/>
        <w:jc w:val="center"/>
        <w:rPr>
          <w:b/>
        </w:rPr>
      </w:pPr>
      <w:r>
        <w:rPr>
          <w:b/>
        </w:rPr>
        <w:t>(</w:t>
      </w:r>
      <w:proofErr w:type="gramStart"/>
      <w:r>
        <w:rPr>
          <w:b/>
        </w:rPr>
        <w:t>далее</w:t>
      </w:r>
      <w:proofErr w:type="gramEnd"/>
      <w:r>
        <w:rPr>
          <w:b/>
        </w:rPr>
        <w:t> – Региональное соглашение)</w:t>
      </w:r>
    </w:p>
    <w:p w:rsidR="00A56D64" w:rsidRDefault="00A56D64">
      <w:pPr>
        <w:pStyle w:val="af"/>
        <w:tabs>
          <w:tab w:val="clear" w:pos="4153"/>
          <w:tab w:val="clear" w:pos="8306"/>
        </w:tabs>
        <w:ind w:right="-144"/>
        <w:rPr>
          <w:b/>
        </w:rPr>
      </w:pPr>
    </w:p>
    <w:p w:rsidR="00A56D64" w:rsidRDefault="00EC62B8">
      <w:pPr>
        <w:widowControl w:val="0"/>
        <w:ind w:firstLine="709"/>
        <w:jc w:val="both"/>
      </w:pPr>
      <w:r>
        <w:t xml:space="preserve">Региональное соглашение содержит 8 разделов. Правительством Новосибирской области в 2023 года реализовывалось 101 обязательство. </w:t>
      </w:r>
    </w:p>
    <w:p w:rsidR="00A56D64" w:rsidRDefault="00EC62B8">
      <w:pPr>
        <w:widowControl w:val="0"/>
        <w:ind w:firstLine="709"/>
        <w:jc w:val="both"/>
      </w:pPr>
      <w:r>
        <w:t>Выполнение обязательств по разделам:</w:t>
      </w:r>
    </w:p>
    <w:p w:rsidR="00A56D64" w:rsidRDefault="00EC62B8">
      <w:pPr>
        <w:widowControl w:val="0"/>
        <w:ind w:firstLine="709"/>
        <w:jc w:val="both"/>
        <w:rPr>
          <w:i/>
          <w:u w:val="single"/>
        </w:rPr>
      </w:pPr>
      <w:r>
        <w:rPr>
          <w:i/>
          <w:u w:val="single"/>
        </w:rPr>
        <w:t xml:space="preserve">1. Экономика и развитие производства </w:t>
      </w:r>
    </w:p>
    <w:p w:rsidR="00A56D64" w:rsidRDefault="00EC62B8">
      <w:pPr>
        <w:widowControl w:val="0"/>
        <w:ind w:firstLine="709"/>
        <w:jc w:val="both"/>
      </w:pPr>
      <w:r>
        <w:t xml:space="preserve">Стратегическое развитие Новосибирской области в долгосрочной перспективе определено Стратегией социально-экономического развития Новосибирской области на период до 2030 года. Достижение стратегических целей и целевых показателей обеспечивалось исполнительными органами Новосибирской области в рамках реализации 12 национальных проектов, 33 государственных программ и 4 ведомственных целевых программ Новосибирской области. </w:t>
      </w:r>
    </w:p>
    <w:p w:rsidR="00A56D64" w:rsidRDefault="00EC62B8">
      <w:pPr>
        <w:widowControl w:val="0"/>
        <w:ind w:firstLine="709"/>
        <w:jc w:val="both"/>
      </w:pPr>
      <w:r>
        <w:t>Новосибирская область − лидер среди регионов Сибирского федерального округа по объ</w:t>
      </w:r>
      <w:r w:rsidR="00257347">
        <w:t>е</w:t>
      </w:r>
      <w:r>
        <w:t xml:space="preserve">мам финансирования национальных проектов как с точки зрения привлечения федеральных средств, так и по направлению региональных средств на реализацию проектов. В 2023 году на национальный проект «Образование» выделено 5,9 млрд рублей, построены школы в Баганском районе и по улице Забалуева в Ленинском районе </w:t>
      </w:r>
      <w:r w:rsidR="00257347">
        <w:t xml:space="preserve">города </w:t>
      </w:r>
      <w:r>
        <w:t>Новосибирска. Заверш</w:t>
      </w:r>
      <w:r w:rsidR="00257347">
        <w:t>е</w:t>
      </w:r>
      <w:r>
        <w:t>н первый этап школы по улице Крылова. На реализацию мероприятий национального проекта «Жиль</w:t>
      </w:r>
      <w:r w:rsidR="00257347">
        <w:t>е</w:t>
      </w:r>
      <w:r>
        <w:t xml:space="preserve"> и городская среда» выделено около 5 млрд рублей, достигнут исторический рекорд по введению более 3 м</w:t>
      </w:r>
      <w:r w:rsidR="00A1512B">
        <w:t>лн</w:t>
      </w:r>
      <w:r>
        <w:t xml:space="preserve"> квадратных метров жилья. По итогам 2023 года 2880 граждан расселено из непригодного для проживания жилищного фонда. Введены в эксплуатацию три объекта системы водоочистки, водозабора, водоснабжения, а также </w:t>
      </w:r>
      <w:r w:rsidR="00257347">
        <w:t>школа по улице Большевистской города Новосибирска на </w:t>
      </w:r>
      <w:r>
        <w:t>825 мест. Проектом «Безопасные качественные дороги» освоено почти 12 млрд рублей, это один из самых больших объ</w:t>
      </w:r>
      <w:r w:rsidR="00257347">
        <w:t>е</w:t>
      </w:r>
      <w:r>
        <w:t>мов финансирования. Отремонтировано 120 объектов общей протяженностью 396 километров, а также более 1000 погонных метров мостов и путепроводов. Установлено 60 комплексов фиксации.</w:t>
      </w:r>
    </w:p>
    <w:p w:rsidR="00A56D64" w:rsidRDefault="00EC62B8">
      <w:pPr>
        <w:pStyle w:val="rtejustify"/>
        <w:shd w:val="clear" w:color="auto" w:fill="FFFFFF"/>
        <w:spacing w:before="0" w:beforeAutospacing="0" w:after="0" w:afterAutospacing="0"/>
        <w:ind w:firstLine="709"/>
        <w:jc w:val="both"/>
        <w:rPr>
          <w:sz w:val="28"/>
          <w:szCs w:val="28"/>
        </w:rPr>
      </w:pPr>
      <w:r>
        <w:rPr>
          <w:sz w:val="28"/>
          <w:szCs w:val="28"/>
        </w:rPr>
        <w:t xml:space="preserve">Продолжена работа по развитию индустриальных, технологических и биотехнологических парков, позволяющая стимулировать спрос на высокотехнологичные разработки, развивая конструктивное сотрудничество региональных властей, бизнеса, науки и образования. </w:t>
      </w:r>
      <w:r>
        <w:rPr>
          <w:sz w:val="28"/>
          <w:szCs w:val="28"/>
          <w:highlight w:val="white"/>
        </w:rPr>
        <w:t xml:space="preserve">В 2023 году на 4 заседаниях Совета по инвестициям Новосибирской области рассмотрено 17 инвестиционных проектов с общим объемом инвестиций более 40 млрд рублей. </w:t>
      </w:r>
      <w:r>
        <w:rPr>
          <w:sz w:val="28"/>
          <w:szCs w:val="28"/>
        </w:rPr>
        <w:t xml:space="preserve">Перечислены субсидии 5 инвесторам на сумму 172,7 </w:t>
      </w:r>
      <w:r w:rsidR="00257347">
        <w:rPr>
          <w:sz w:val="28"/>
          <w:szCs w:val="28"/>
        </w:rPr>
        <w:t>млн</w:t>
      </w:r>
      <w:r>
        <w:rPr>
          <w:sz w:val="28"/>
          <w:szCs w:val="28"/>
        </w:rPr>
        <w:t xml:space="preserve"> рублей. Состоялось 28 заседаний комиссии по оценке соответствия объектов социально-культурного или коммунально-бытового назначения, на которых было рассмотрено 36 проектов. </w:t>
      </w:r>
    </w:p>
    <w:p w:rsidR="00A56D64" w:rsidRDefault="00EC62B8">
      <w:pPr>
        <w:ind w:left="63" w:right="-51" w:firstLine="646"/>
        <w:jc w:val="both"/>
        <w:rPr>
          <w:highlight w:val="white"/>
        </w:rPr>
      </w:pPr>
      <w:r>
        <w:t xml:space="preserve">На площадках Научно-технологического парка в сфере биотехнологий в </w:t>
      </w:r>
      <w:proofErr w:type="spellStart"/>
      <w:r>
        <w:t>наукограде</w:t>
      </w:r>
      <w:proofErr w:type="spellEnd"/>
      <w:r>
        <w:t xml:space="preserve"> Кольцово и Промышленно-логистического парка Новосибирской области свою деятельность осуществляют 44 резидента. Объем налоговых поступлений от компаний резидентов в консолидированный бюджет Новосибирской области составил более 2075 млн рублей. </w:t>
      </w:r>
      <w:r>
        <w:rPr>
          <w:highlight w:val="white"/>
        </w:rPr>
        <w:t xml:space="preserve">В рамках федерального кураторства резидентами Промышленно-логистического парка Новосибирской области реализовывались проекты: строительство завода по производству соленых закусок, формирование узлового </w:t>
      </w:r>
      <w:proofErr w:type="spellStart"/>
      <w:r>
        <w:rPr>
          <w:highlight w:val="white"/>
        </w:rPr>
        <w:t>мультимодального</w:t>
      </w:r>
      <w:proofErr w:type="spellEnd"/>
      <w:r>
        <w:rPr>
          <w:highlight w:val="white"/>
        </w:rPr>
        <w:t xml:space="preserve"> транспортно-логистического центра «Сибирский», создание Кампуса мирового уровня «Новосибирский национальный исследовательский государственный университет».</w:t>
      </w:r>
    </w:p>
    <w:p w:rsidR="00A56D64" w:rsidRDefault="00EC62B8">
      <w:pPr>
        <w:ind w:left="63" w:right="-51" w:firstLine="646"/>
        <w:jc w:val="both"/>
      </w:pPr>
      <w:r>
        <w:t xml:space="preserve">Продолжалась работа по созданию одного из восьми пилотных </w:t>
      </w:r>
      <w:proofErr w:type="spellStart"/>
      <w:r>
        <w:t>экопромышленных</w:t>
      </w:r>
      <w:proofErr w:type="spellEnd"/>
      <w:r>
        <w:t xml:space="preserve"> парков в Российской Федерации, резидентами которых станут предприятия по переработке отходов. Строительство объекта ведется на территории Верх-</w:t>
      </w:r>
      <w:proofErr w:type="spellStart"/>
      <w:r>
        <w:t>Тулинского</w:t>
      </w:r>
      <w:proofErr w:type="spellEnd"/>
      <w:r>
        <w:t xml:space="preserve"> сельсовета Новосибирского района Новосибирской области. Планируемый объем инвестиций составит более 1 млрд рублей.</w:t>
      </w:r>
    </w:p>
    <w:p w:rsidR="00A56D64" w:rsidRDefault="00EC62B8">
      <w:pPr>
        <w:ind w:right="-51" w:firstLine="709"/>
        <w:jc w:val="both"/>
      </w:pPr>
      <w:r>
        <w:t xml:space="preserve">Реализация мероприятий государственной программы «Развитие туризма в Новосибирской области» позволило Новосибирской области в 2023 году улучшить свои позиции в Национальном туристическом рейтинге и занять 11 место, укрепив положение на 1 позицию по сравнению с прошлым годом и на 5 позиций за последние 4 года. Муниципальным образованиям на реализацию мероприятий по созданию условий для развития сферы туризма, инфраструктуры досуга и отдыха предоставлялись меры государственной поддержки в виде субсидий, а также </w:t>
      </w:r>
      <w:proofErr w:type="spellStart"/>
      <w:r>
        <w:t>грантовая</w:t>
      </w:r>
      <w:proofErr w:type="spellEnd"/>
      <w:r>
        <w:t xml:space="preserve"> поддержка предпринимательских инициатив, направленных на развитие внутреннего и въездного туризма на территории региона. Общий объем государственной поддержки предпринимательских инициатив в 2023 году составил 46,2 млн рублей. Максимальная сумма гранта увеличена с 3 до 5 млн рублей. По итогам конкурсного отбора 2023 года поддержаны 9 предпринимательских инициатив.</w:t>
      </w:r>
    </w:p>
    <w:p w:rsidR="00CA67D6" w:rsidRPr="008F28FF" w:rsidRDefault="00EC62B8" w:rsidP="00CA67D6">
      <w:pPr>
        <w:shd w:val="clear" w:color="auto" w:fill="FFFFFF"/>
        <w:ind w:left="28" w:right="6" w:firstLine="680"/>
        <w:jc w:val="both"/>
      </w:pPr>
      <w:r w:rsidRPr="00CA67D6">
        <w:t>Совершенствовалось развитие транспортной инфраструктуры Новосибирской области в соответствии с потребностями развития экономики и населения, использование выгодного транспортного положения и востребованности Новосибирской области, как крупнейшего транспортно</w:t>
      </w:r>
      <w:r w:rsidRPr="00CA67D6">
        <w:noBreakHyphen/>
        <w:t xml:space="preserve">распределительного узла Сибири. </w:t>
      </w:r>
      <w:r w:rsidR="00CA67D6">
        <w:t>На реализацию</w:t>
      </w:r>
      <w:r w:rsidR="00CA67D6" w:rsidRPr="008F28FF">
        <w:t xml:space="preserve"> мероприятий государственной программы «Развитие автомобильных дорог регионального, межмуниципального и местного значения в Новосибирской области</w:t>
      </w:r>
      <w:r w:rsidR="00CA67D6">
        <w:t>»</w:t>
      </w:r>
      <w:r w:rsidR="00CA67D6" w:rsidRPr="008F28FF">
        <w:t xml:space="preserve"> </w:t>
      </w:r>
      <w:r w:rsidR="00CA67D6">
        <w:t>в</w:t>
      </w:r>
      <w:r w:rsidR="00CA67D6" w:rsidRPr="008F28FF">
        <w:t xml:space="preserve"> 20</w:t>
      </w:r>
      <w:r w:rsidR="00CA67D6">
        <w:t>23</w:t>
      </w:r>
      <w:r w:rsidR="00CA67D6" w:rsidRPr="008F28FF">
        <w:t xml:space="preserve"> год</w:t>
      </w:r>
      <w:r w:rsidR="00CA67D6">
        <w:t xml:space="preserve">у выделено около </w:t>
      </w:r>
      <w:r w:rsidR="00CA67D6" w:rsidRPr="0004108C">
        <w:t>2</w:t>
      </w:r>
      <w:r w:rsidR="00CA67D6">
        <w:t>9 млрд</w:t>
      </w:r>
      <w:r w:rsidR="00CA67D6" w:rsidRPr="008F28FF">
        <w:t xml:space="preserve"> рублей</w:t>
      </w:r>
      <w:r w:rsidR="00CA67D6">
        <w:t xml:space="preserve">, в том числе </w:t>
      </w:r>
      <w:r w:rsidR="00CA67D6" w:rsidRPr="0004108C">
        <w:t>19</w:t>
      </w:r>
      <w:r w:rsidR="00CA67D6">
        <w:t>,</w:t>
      </w:r>
      <w:r w:rsidR="00CA67D6" w:rsidRPr="0004108C">
        <w:t>3</w:t>
      </w:r>
      <w:r w:rsidR="00CA67D6">
        <w:t xml:space="preserve"> млрд рублей</w:t>
      </w:r>
      <w:r w:rsidR="00CA67D6" w:rsidRPr="008F28FF">
        <w:t xml:space="preserve"> </w:t>
      </w:r>
      <w:r w:rsidR="00CA67D6">
        <w:t xml:space="preserve">из областного бюджета, </w:t>
      </w:r>
      <w:r w:rsidR="00CA67D6" w:rsidRPr="0004108C">
        <w:t>6</w:t>
      </w:r>
      <w:r w:rsidR="00CA67D6">
        <w:t>,8 млрд</w:t>
      </w:r>
      <w:r w:rsidR="00CA67D6" w:rsidRPr="00054857">
        <w:t xml:space="preserve"> рублей из </w:t>
      </w:r>
      <w:r w:rsidR="00CA67D6">
        <w:t>федерального</w:t>
      </w:r>
      <w:r w:rsidR="00CA67D6" w:rsidRPr="00054857">
        <w:t xml:space="preserve"> бюджета</w:t>
      </w:r>
      <w:r w:rsidR="00CA67D6">
        <w:t xml:space="preserve">, остальные средства выделялись из местных бюджетов и внебюджетных источников. </w:t>
      </w:r>
    </w:p>
    <w:p w:rsidR="00A56D64" w:rsidRDefault="00EC62B8">
      <w:pPr>
        <w:ind w:right="-51" w:firstLine="709"/>
        <w:jc w:val="both"/>
      </w:pPr>
      <w:r>
        <w:t>Все эти меры позволили добиться роста объема промышленного производства темпами выше среднероссийских. Индекс промышленного производства составил 106,3% (РФ – 103,5%). Это результат не только загрузки предприятий оборонно-промышленного комплекса, но и гражданских предприятий. Индекс объема обрабатывающего производства составил 108,5% (РФ – 107,5%), оборот розничной торговли – 110,6% (РФ – 106,4%), объем работ, выполненных по виду деятельности «Строительство» – 115,6% (РФ – 107,9%) и ввода в действие объектов жилого назначения – 134,4% (РФ – 107,5%).</w:t>
      </w:r>
      <w:r>
        <w:rPr>
          <w:color w:val="FF0000"/>
        </w:rPr>
        <w:t xml:space="preserve"> </w:t>
      </w:r>
    </w:p>
    <w:p w:rsidR="00A56D64" w:rsidRDefault="00EC62B8">
      <w:pPr>
        <w:widowControl w:val="0"/>
        <w:ind w:firstLine="709"/>
        <w:jc w:val="both"/>
        <w:rPr>
          <w:i/>
          <w:u w:val="single"/>
        </w:rPr>
      </w:pPr>
      <w:r>
        <w:rPr>
          <w:i/>
          <w:u w:val="single"/>
        </w:rPr>
        <w:t xml:space="preserve">2. Развитие рынка труда и обеспечение занятости населения </w:t>
      </w:r>
    </w:p>
    <w:p w:rsidR="00A56D64" w:rsidRDefault="00EC62B8">
      <w:pPr>
        <w:widowControl w:val="0"/>
        <w:ind w:firstLine="709"/>
        <w:jc w:val="both"/>
        <w:rPr>
          <w:sz w:val="32"/>
        </w:rPr>
      </w:pPr>
      <w:r>
        <w:rPr>
          <w:szCs w:val="24"/>
        </w:rPr>
        <w:t>В целях создания условий для эффективной занятости населения, обеспечения стабильности на рынке труда, а также содействия обеспечению потребности экономики в квалифицированных кадрах на территории Новосибирской области в 2023 году продолжалась реализация мероприятий государственной программы Новосибирской области «Содействие занятости населения».</w:t>
      </w:r>
    </w:p>
    <w:p w:rsidR="00A56D64" w:rsidRDefault="00EC62B8">
      <w:pPr>
        <w:widowControl w:val="0"/>
        <w:ind w:firstLine="709"/>
        <w:jc w:val="both"/>
      </w:pPr>
      <w:r>
        <w:t>О комплексе услуг в области содействия занятости населения и о ситуации на рынке труда информированы 2,3 тыс. граждан и 341 работодатель. Учреждениями службы занятости на профессиональное обучение профессиям, востребованным на региональном рынке труда, направлено 2,3 тыс. безработных, на общественные и временные работы – 8,5 тыс. ищущих работу и б</w:t>
      </w:r>
      <w:r w:rsidR="00257347">
        <w:t>езработных граждан, организовано</w:t>
      </w:r>
      <w:r>
        <w:t xml:space="preserve"> 260 </w:t>
      </w:r>
      <w:r w:rsidR="00257347">
        <w:t>ярмарок</w:t>
      </w:r>
      <w:r>
        <w:t xml:space="preserve"> вакансий и учебных рабочих мест, в региональный банк привлечено более 108 тыс. вакансий. </w:t>
      </w:r>
    </w:p>
    <w:p w:rsidR="00A56D64" w:rsidRDefault="00EC62B8">
      <w:pPr>
        <w:widowControl w:val="0"/>
        <w:ind w:firstLine="709"/>
        <w:jc w:val="both"/>
      </w:pPr>
      <w:r>
        <w:t xml:space="preserve">Услуги по профессиональной ориентации оказаны 17,7 тыс. гражданам в возрасте от 14 до 35 лет и 1393 гражданам, уволенным в связи с ликвидацией организации либо сокращением численности и штата работников. По содействию трудоустройству услуги оказаны 15,4 тыс. гражданам, испытывающим трудности в поиске работы (инвалидам; лицам, освобожденным из учреждений, исполняющих наказание в виде лишения свободы; несовершеннолетним; одиноким и многодетным родителям, воспитывающим несовершеннолетних детей; лицам предпенсионного возраста, беженцам и вынужденным переселенцам и др.), трудоустроено 8,7 тыс. граждан указанных категорий. </w:t>
      </w:r>
    </w:p>
    <w:p w:rsidR="00A56D64" w:rsidRDefault="00EC62B8">
      <w:pPr>
        <w:widowControl w:val="0"/>
        <w:ind w:firstLine="709"/>
        <w:jc w:val="both"/>
      </w:pPr>
      <w:r>
        <w:t>В рамках федерального проекта «Содействие занятости» национального проекта «Демография» реализовывались мероприятия по организации профессионального обучения и дополнительного профессионального образования за счет федерального бюджета отдельных категорий граждан: молодежь в возрасте до 35 лет включительно; женщины, находящиеся в отпуске по уходу за ребенком до достижения им возраста трех лет; граждане в возрасте 50 лет и старше, граждане предпенсионного возраста и другие, прошли обучение 3670 граждан, в том числе 1033 женщины, находящиеся в отпуске по уходу за ребенком до достижения им возраста до трех лет (из них 966 трудоустроены или сохранили занятость) и 490 женщин, не состоящих в трудовых отношениях и имеющих детей дошкольного возраста (из них 319 трудоустроены или сохранили занятость).</w:t>
      </w:r>
    </w:p>
    <w:p w:rsidR="00A56D64" w:rsidRDefault="00EC62B8">
      <w:pPr>
        <w:widowControl w:val="0"/>
        <w:ind w:firstLine="709"/>
        <w:jc w:val="both"/>
      </w:pPr>
      <w:r>
        <w:t>Проведено 3,4 тыс. информационно-организационных мероприятий, в том числе дни службы занятости на предприятиях, дни работников кадровых служб, круглые столы, совещания, семинары, рабочие встречи с работодателями.</w:t>
      </w:r>
      <w:r w:rsidR="00257347">
        <w:t xml:space="preserve"> Проведены </w:t>
      </w:r>
      <w:r>
        <w:t>в организациях, планирующих сокращение работников</w:t>
      </w:r>
      <w:r w:rsidR="00257347">
        <w:t>, 144 предувольнительные консультации по вопросам законодательства о труде и занятости</w:t>
      </w:r>
      <w:r>
        <w:t>. В результате превентивных мер удалось не допустить массовых и незаконных сокращений работников. Каждый третий работник, оказавшийся под угрозой сокращения, остался на своем рабочем месте, это более 1,5 тыс. человек.</w:t>
      </w:r>
    </w:p>
    <w:p w:rsidR="00A56D64" w:rsidRDefault="00EC62B8">
      <w:pPr>
        <w:widowControl w:val="0"/>
        <w:ind w:firstLine="709"/>
        <w:jc w:val="both"/>
      </w:pPr>
      <w:r>
        <w:t xml:space="preserve">При содействии учреждений службы занятости трудоустроено 38,1 тыс. человек, консультационные услуги по содействию предпринимательской деятельности получили 3,2 тыс. человек, 3,1 тыс. человек открыли собственное дело. Единовременную финансовую помощь на начало осуществления предпринимательской деятельности получил 161 человек. </w:t>
      </w:r>
    </w:p>
    <w:p w:rsidR="00A56D64" w:rsidRDefault="00EC62B8">
      <w:pPr>
        <w:widowControl w:val="0"/>
        <w:ind w:firstLine="709"/>
        <w:jc w:val="both"/>
      </w:pPr>
      <w:r>
        <w:t>Проводимые мероприятия по содействию занятости населения способствовали снижению уровня официальной безработицы с 0,9% на 1 января 2023 года до 0,6% на 1 января 2024 года.</w:t>
      </w:r>
    </w:p>
    <w:p w:rsidR="00A56D64" w:rsidRDefault="00EC62B8">
      <w:pPr>
        <w:widowControl w:val="0"/>
        <w:ind w:firstLine="709"/>
        <w:jc w:val="both"/>
        <w:rPr>
          <w:i/>
          <w:u w:val="single"/>
        </w:rPr>
      </w:pPr>
      <w:r>
        <w:rPr>
          <w:i/>
          <w:u w:val="single"/>
        </w:rPr>
        <w:t xml:space="preserve">3. Повышение уровня жизни, регулирование оплаты труда </w:t>
      </w:r>
    </w:p>
    <w:p w:rsidR="00A56D64" w:rsidRDefault="00EC62B8">
      <w:pPr>
        <w:ind w:right="11" w:firstLine="709"/>
        <w:jc w:val="both"/>
      </w:pPr>
      <w:r>
        <w:t xml:space="preserve">В Новосибирской области выполняется поручение Президента Российской Федерации о сохранении достигнутого соотношения средней заработной платы отдельных категорий работников бюджетной сферы и средней заработной платы в регионе. Мониторинг средней заработной платы по целевым категориям работников осуществляется с ежемесячной периодичностью. </w:t>
      </w:r>
    </w:p>
    <w:p w:rsidR="00A56D64" w:rsidRDefault="00EC62B8">
      <w:pPr>
        <w:ind w:right="11" w:firstLine="709"/>
        <w:jc w:val="both"/>
        <w:rPr>
          <w:i/>
        </w:rPr>
      </w:pPr>
      <w:r>
        <w:t>Величина оценочного показателя среднемесячного дохода от трудовой деятельности, являющаяся ориентиром повышения заработной платы отдельных категорий работников бюджетной сферы, в течение 2023 года дважды корректировалась в соответствии с ожидаемыми темпами роста среднемесячной заработной платы и определена на 2023 год в размере 52493 рублей. По оперативным сведениям, по всем «указным» категориям работников установленные целевые показатели повышения заработной платы достигнуты</w:t>
      </w:r>
      <w:r>
        <w:rPr>
          <w:i/>
        </w:rPr>
        <w:t>.</w:t>
      </w:r>
    </w:p>
    <w:p w:rsidR="00A56D64" w:rsidRDefault="00EC62B8">
      <w:pPr>
        <w:ind w:right="11" w:firstLine="709"/>
        <w:jc w:val="both"/>
      </w:pPr>
      <w:r>
        <w:t>Принимались меры по обеспечению повышения уровня реального содержания заработной платы работников организаций посредством ежегодной индексации с учетом роста потребительских цен на товары и услуги. В 2023 году фонды оплаты труда работников государственных учреждений Новосибирской области за исключением «указных» категорий работников увеличивались дважды: с 1 августа – на 9,7%, с 1 октября – на 7,5%.</w:t>
      </w:r>
    </w:p>
    <w:p w:rsidR="00A56D64" w:rsidRDefault="00EC62B8">
      <w:pPr>
        <w:ind w:right="11" w:firstLine="709"/>
        <w:jc w:val="both"/>
      </w:pPr>
      <w:r>
        <w:t>Областной межведомственной комиссией при Правительстве Новосибирской области по вопросам оплаты труда и снижения нелегальной трудовой занятости работников организаций, находящихся на территории Новосибирской области, во взаимодействии с правоохранительными, контрольно-надзорными органами, администрациями муниципальных районов и городских округов и другими заинтересованными ведомствами, обеспечивалась системная работа, направленная на побуждение руководителей организаций-должников к ликвидации задолженности по выплате заработной платы, предупреждению и недопущению образования новых задолженностей. В результате принимаемых мер в 2023 году организациями-должниками выплачено работникам 361,8 млн рублей задержанной заработной платы. Задолженность полностью ликвидирована в 17 организациях, в том числе в 5 муниципальных организациях.</w:t>
      </w:r>
    </w:p>
    <w:p w:rsidR="00A56D64" w:rsidRDefault="00EC62B8">
      <w:pPr>
        <w:ind w:right="11" w:firstLine="709"/>
        <w:jc w:val="both"/>
      </w:pPr>
      <w:r>
        <w:t xml:space="preserve">В рамках Плана мероприятий по снижению уровня неформальной занятости и легализации трудовых отношений на 2022-2024 годы </w:t>
      </w:r>
      <w:r>
        <w:rPr>
          <w:bCs/>
        </w:rPr>
        <w:t>трудовые отношения легализованы с </w:t>
      </w:r>
      <w:r>
        <w:rPr>
          <w:lang w:eastAsia="en-US"/>
        </w:rPr>
        <w:t>20395</w:t>
      </w:r>
      <w:r>
        <w:rPr>
          <w:bCs/>
        </w:rPr>
        <w:t> работниками.</w:t>
      </w:r>
    </w:p>
    <w:p w:rsidR="00A56D64" w:rsidRDefault="00EC62B8">
      <w:pPr>
        <w:ind w:right="11" w:firstLine="709"/>
        <w:jc w:val="both"/>
        <w:rPr>
          <w:bCs/>
        </w:rPr>
      </w:pPr>
      <w:r>
        <w:rPr>
          <w:bCs/>
        </w:rPr>
        <w:t xml:space="preserve">В целом, в январе-ноябре 2023 года среднемесячная номинальная начисленная заработная плата работников организаций Новосибирской области составила 60174,8 рубля, увеличившись по сравнению с январем-ноябрем 2022 года на 17,6%. Индекс реальной начисленной заработной платы составил за этот период 112,4%. </w:t>
      </w:r>
    </w:p>
    <w:p w:rsidR="00A56D64" w:rsidRDefault="00EC62B8">
      <w:pPr>
        <w:ind w:right="11" w:firstLine="709"/>
        <w:jc w:val="both"/>
      </w:pPr>
      <w:r>
        <w:rPr>
          <w:bCs/>
        </w:rPr>
        <w:t xml:space="preserve">Рост среднемесячной номинальной начисленной заработной платы зафиксирован во всех видах экономической деятельности. </w:t>
      </w:r>
      <w:r>
        <w:rPr>
          <w:rFonts w:eastAsia="Calibri"/>
        </w:rPr>
        <w:t>В отраслях социальной сферы среднемесячная номинальная начисленная заработная плата выросла: в</w:t>
      </w:r>
      <w:r w:rsidR="00257347">
        <w:rPr>
          <w:rFonts w:eastAsia="Calibri"/>
        </w:rPr>
        <w:t> </w:t>
      </w:r>
      <w:r>
        <w:rPr>
          <w:rFonts w:eastAsia="Calibri"/>
        </w:rPr>
        <w:t xml:space="preserve">сфере здравоохранения и социальных услуг </w:t>
      </w:r>
      <w:r w:rsidR="00257347">
        <w:rPr>
          <w:rFonts w:eastAsia="Calibri"/>
        </w:rPr>
        <w:t>–</w:t>
      </w:r>
      <w:r>
        <w:rPr>
          <w:rFonts w:eastAsia="Calibri"/>
        </w:rPr>
        <w:t xml:space="preserve"> на 16,3%, составив 58800,3 рубля; в образовании – на 15,7%, составив 51080,5 рубля; в сфере культуры, спорта, организации досуга и развлечений – на 15,0%, составив 57632,6 рубля. </w:t>
      </w:r>
      <w:r>
        <w:t>Мероприятия, обеспечивающие рост заработной платы и соблюдение основных государственных гарантий по оплате труда работников, в том числе минимального размера оплаты труда, реализовывались в государственных и муниципальных учреждениях в рамках выполнения соглашений и коллективных договоров.</w:t>
      </w:r>
    </w:p>
    <w:p w:rsidR="00A56D64" w:rsidRDefault="00EC62B8">
      <w:pPr>
        <w:ind w:firstLine="720"/>
        <w:jc w:val="both"/>
        <w:rPr>
          <w:rFonts w:eastAsia="Calibri"/>
        </w:rPr>
      </w:pPr>
      <w:r>
        <w:rPr>
          <w:rFonts w:eastAsia="Calibri"/>
        </w:rPr>
        <w:t>Суммарный объем среднедушевых денежных доходов населения Новосибирской области в январе-сентябре 2023 года превысил на 14% показатель соответствующего периода 2022 года и составил 43607,5 рубля.</w:t>
      </w:r>
    </w:p>
    <w:p w:rsidR="00A56D64" w:rsidRDefault="00EC62B8">
      <w:pPr>
        <w:ind w:right="11" w:firstLine="709"/>
        <w:jc w:val="both"/>
        <w:rPr>
          <w:i/>
          <w:u w:val="single"/>
        </w:rPr>
      </w:pPr>
      <w:r>
        <w:rPr>
          <w:i/>
          <w:u w:val="single"/>
        </w:rPr>
        <w:t xml:space="preserve">4. Охрана труда и экологическая безопасность </w:t>
      </w:r>
    </w:p>
    <w:p w:rsidR="00A56D64" w:rsidRDefault="00EC62B8">
      <w:pPr>
        <w:widowControl w:val="0"/>
        <w:ind w:firstLine="709"/>
        <w:jc w:val="both"/>
        <w:rPr>
          <w:bCs/>
        </w:rPr>
      </w:pPr>
      <w:r>
        <w:rPr>
          <w:bCs/>
        </w:rPr>
        <w:t>В рамках подпрограммы «Улучшение условий и охраны труда в Новосибирской области» государственной программы Новосибирской области «Содействие занятости населения»</w:t>
      </w:r>
      <w:r>
        <w:rPr>
          <w:color w:val="000000"/>
          <w:sz w:val="30"/>
          <w:szCs w:val="30"/>
        </w:rPr>
        <w:t xml:space="preserve"> продолжалась реализация мероприятий по улучшению условий и охраны труда,</w:t>
      </w:r>
      <w:r>
        <w:rPr>
          <w:sz w:val="30"/>
          <w:szCs w:val="30"/>
        </w:rPr>
        <w:t xml:space="preserve"> направленных на сохранение жизни и здоровья работников в процессе трудовой деятельности</w:t>
      </w:r>
      <w:r>
        <w:rPr>
          <w:bCs/>
        </w:rPr>
        <w:t xml:space="preserve">. </w:t>
      </w:r>
      <w:r>
        <w:t xml:space="preserve">По сравнению с 2022 годом достигнуто снижение </w:t>
      </w:r>
      <w:r>
        <w:rPr>
          <w:bCs/>
        </w:rPr>
        <w:t>к</w:t>
      </w:r>
      <w:r>
        <w:t xml:space="preserve">оличества пострадавших от несчастных случаев на производстве на 16,4%. </w:t>
      </w:r>
    </w:p>
    <w:p w:rsidR="00A56D64" w:rsidRDefault="00EC62B8">
      <w:pPr>
        <w:widowControl w:val="0"/>
        <w:ind w:firstLine="709"/>
        <w:jc w:val="both"/>
      </w:pPr>
      <w:r>
        <w:t>Специальная оценка условий труда проведена на 639 тыс. рабочих мест, из них 80% составляют рабочие места с оптимальными и допустимыми условиями труда, прошли обучение по охране труда 30,5 тыс. работников организаций, в том числе 6,5 тыс. руководителей.</w:t>
      </w:r>
    </w:p>
    <w:p w:rsidR="00A56D64" w:rsidRDefault="00EC62B8">
      <w:pPr>
        <w:ind w:firstLine="709"/>
        <w:jc w:val="both"/>
        <w:rPr>
          <w:rFonts w:eastAsia="Calibri"/>
          <w:sz w:val="36"/>
        </w:rPr>
      </w:pPr>
      <w:r>
        <w:rPr>
          <w:bCs/>
        </w:rPr>
        <w:t xml:space="preserve">Оказано </w:t>
      </w:r>
      <w:r>
        <w:t xml:space="preserve">более 6 </w:t>
      </w:r>
      <w:r>
        <w:rPr>
          <w:bCs/>
        </w:rPr>
        <w:t xml:space="preserve">тыс. консультаций с работодателями и работниками по вопросам законодательства в области охраны труда, организовано информирование через печатные и электронные ресурсы </w:t>
      </w:r>
      <w:r>
        <w:t>муниципальных районов и городских округов Новосибирской области, размещена 471 публикация</w:t>
      </w:r>
      <w:r>
        <w:rPr>
          <w:szCs w:val="22"/>
        </w:rPr>
        <w:t>.</w:t>
      </w:r>
    </w:p>
    <w:p w:rsidR="00A56D64" w:rsidRDefault="00EC62B8">
      <w:pPr>
        <w:tabs>
          <w:tab w:val="left" w:pos="5220"/>
        </w:tabs>
        <w:ind w:firstLine="709"/>
        <w:jc w:val="both"/>
      </w:pPr>
      <w:r>
        <w:t>Взаимодействие с федеральными органами надзора и контроля в сфере охраны труда осуществлялась в рамках Экспертного совета по охране труда, на заседаниях которого были рассмотрены вопросы: о состоянии производственного травматизма в организациях промышленности и мерах по его профилактик</w:t>
      </w:r>
      <w:r w:rsidR="00257347">
        <w:t>е</w:t>
      </w:r>
      <w:r>
        <w:t>; о результатах проведения специальной оценки условий труда в организациях Новосибирской области и нарушениях, выявляемых при проведении государственной экспертизы условий труда; о практике применения нового порядка обучения п</w:t>
      </w:r>
      <w:r w:rsidR="00257347">
        <w:t>о охране труда и проверки знания</w:t>
      </w:r>
      <w:r>
        <w:t xml:space="preserve"> требований охраны труда работников организаций; о профессиональной заболеваемости в организациях Новосибирской области. </w:t>
      </w:r>
    </w:p>
    <w:p w:rsidR="00A56D64" w:rsidRDefault="00EC62B8">
      <w:pPr>
        <w:tabs>
          <w:tab w:val="left" w:pos="5220"/>
        </w:tabs>
        <w:ind w:firstLine="709"/>
        <w:jc w:val="both"/>
        <w:rPr>
          <w:sz w:val="36"/>
        </w:rPr>
      </w:pPr>
      <w:r>
        <w:t xml:space="preserve">В ходе информационно-разъяснительной кампании, направленной на </w:t>
      </w:r>
      <w:r>
        <w:rPr>
          <w:szCs w:val="22"/>
        </w:rPr>
        <w:t xml:space="preserve">привлечение внимания к вопросам охраны труда, распространению передового опыта работы по созданию безопасных условий труда, за отчетный период проводились мероприятия по пропаганде достижений в области охраны труда. </w:t>
      </w:r>
      <w:r>
        <w:t xml:space="preserve">На официальном сайте министерства труда и социального развития Новосибирской области размещены информационно-методические материалы и памятки. </w:t>
      </w:r>
    </w:p>
    <w:p w:rsidR="00A56D64" w:rsidRDefault="00EC62B8">
      <w:pPr>
        <w:tabs>
          <w:tab w:val="left" w:pos="5220"/>
        </w:tabs>
        <w:ind w:firstLine="709"/>
        <w:jc w:val="both"/>
        <w:rPr>
          <w:sz w:val="36"/>
          <w:szCs w:val="36"/>
        </w:rPr>
      </w:pPr>
      <w:r>
        <w:t>Организованы и проведены обучающие семинары с руководителями и специалистами организаций жилищно-коммунального хозяйства и энергетики, промышленности, строительства и сельского хозяйства</w:t>
      </w:r>
      <w:r>
        <w:rPr>
          <w:bCs/>
          <w:iCs/>
          <w:szCs w:val="22"/>
        </w:rPr>
        <w:t>, XXXI</w:t>
      </w:r>
      <w:r>
        <w:rPr>
          <w:bCs/>
          <w:iCs/>
          <w:szCs w:val="22"/>
          <w:lang w:val="en-US"/>
        </w:rPr>
        <w:t>V</w:t>
      </w:r>
      <w:r>
        <w:rPr>
          <w:bCs/>
          <w:iCs/>
          <w:szCs w:val="22"/>
        </w:rPr>
        <w:t xml:space="preserve"> студенческая олимпиада «Безопасность жизнедеятельности и </w:t>
      </w:r>
      <w:r>
        <w:rPr>
          <w:bCs/>
          <w:iCs/>
        </w:rPr>
        <w:t>охрана труда» (приняло участие 6 ВУЗов города Новосибирска); конкурс детского рисунка «Охрана труда глазами детей».</w:t>
      </w:r>
    </w:p>
    <w:p w:rsidR="00A56D64" w:rsidRDefault="00EC62B8">
      <w:pPr>
        <w:widowControl w:val="0"/>
        <w:ind w:firstLine="709"/>
        <w:jc w:val="both"/>
      </w:pPr>
      <w:r>
        <w:t>В целях улучшения экологической обстановки, развития водохозяйственного комплекса, устойчивого существования и использования охотничьих ресурсов реализовывались природоохранные мероприятия государственной программы Новосибирской области «Охрана окружающей среды».</w:t>
      </w:r>
    </w:p>
    <w:p w:rsidR="00A56D64" w:rsidRDefault="00EC62B8">
      <w:pPr>
        <w:widowControl w:val="0"/>
        <w:ind w:firstLine="709"/>
        <w:jc w:val="both"/>
        <w:rPr>
          <w:i/>
          <w:u w:val="single"/>
        </w:rPr>
      </w:pPr>
      <w:r>
        <w:rPr>
          <w:i/>
          <w:u w:val="single"/>
        </w:rPr>
        <w:t>5. Социальная поддержка населения и развитие социальной сферы</w:t>
      </w:r>
    </w:p>
    <w:p w:rsidR="00A56D64" w:rsidRDefault="00EC62B8">
      <w:pPr>
        <w:widowControl w:val="0"/>
        <w:ind w:firstLine="709"/>
        <w:jc w:val="both"/>
      </w:pPr>
      <w:r>
        <w:t xml:space="preserve">Создание условий для роста благосостояния граждан, снижения бедности среди получателей мер поддержки, повышения доступности социального обслуживания населения достигалось посредством реализации мер региональной программы </w:t>
      </w:r>
      <w:r>
        <w:rPr>
          <w:bCs/>
        </w:rPr>
        <w:t>«Снижение доли населения с денежными доходами ниже величины прожиточного минимума в Новосибирской области на период до 2030 года</w:t>
      </w:r>
      <w:r>
        <w:t>».</w:t>
      </w:r>
    </w:p>
    <w:p w:rsidR="00A56D64" w:rsidRDefault="00EC62B8">
      <w:pPr>
        <w:widowControl w:val="0"/>
        <w:ind w:firstLine="709"/>
        <w:jc w:val="both"/>
      </w:pPr>
      <w:r>
        <w:t xml:space="preserve">Социальная помощь оказана более 5,8 тыс. малоимущих граждан (семей) и граждан, находящихся в трудной жизненной ситуации, 7,4 тыс. граждан получили адресную помощь на условиях социального контракта. Компенсацию расходов на оплату жилья и коммунальных услуг получили 524,2 тыс. человек на сумму 7,4 млрд рублей, на уплату взноса на капитальный ремонт – 21 тыс. неработающих собственников жилых помещений в возрасте 70-80 лет на общую сумму 48,9 млн рублей. С целью улучшения качества жизни граждан старшего поколения 3,5 тыс. ветеранам труда выделены путевки на санаторно-курортное лечение, 143 ветеранам Великой Отечественной войны предоставлена денежная выплата на улучшение социально-бытовых условий. </w:t>
      </w:r>
    </w:p>
    <w:p w:rsidR="00A56D64" w:rsidRDefault="00EC62B8">
      <w:pPr>
        <w:ind w:firstLine="709"/>
        <w:jc w:val="both"/>
      </w:pPr>
      <w:r>
        <w:t>Продолжалась работа по реализации стационарозамещающих технологий с преимущественной ориентацией на предоставление социальных услуг на дому и поддержку семейного ухода. Обеспечены стационарозамещающими формами социального обслуживания 8,6 тыс. человек.</w:t>
      </w:r>
    </w:p>
    <w:p w:rsidR="00A56D64" w:rsidRDefault="00EC62B8">
      <w:pPr>
        <w:widowControl w:val="0"/>
        <w:ind w:firstLine="709"/>
        <w:jc w:val="both"/>
      </w:pPr>
      <w:r>
        <w:t>Общая численность граждан, получивших социальные выплаты, пособия и компенсации в 2023 году составила более 937 тыс. человек. На предоставление мер социальной поддержки из федерального и областного бюджетов направлено более 14,8 млрд рублей.</w:t>
      </w:r>
    </w:p>
    <w:p w:rsidR="00A56D64" w:rsidRDefault="00EC62B8">
      <w:pPr>
        <w:widowControl w:val="0"/>
        <w:ind w:firstLine="709"/>
        <w:jc w:val="both"/>
      </w:pPr>
      <w:r>
        <w:t>Проводились мероприятия, направленные на повышение уровня комфортности и безопасности условий проживания населения Новосибирской области, на основе повышения надежности работы объектов жилищно-коммунального комплекса, развития коммунальной инфраструктуры на территории муниципальных образований, обеспечения надежного газоснабжения потребителей и повышения уровня газификации, обеспечения населения качественной питьевой водой, отвечающей требованиям безопасности и безвредности.</w:t>
      </w:r>
    </w:p>
    <w:p w:rsidR="00A56D64" w:rsidRDefault="00EC62B8">
      <w:pPr>
        <w:widowControl w:val="0"/>
        <w:ind w:firstLine="709"/>
        <w:jc w:val="both"/>
      </w:pPr>
      <w:r>
        <w:t xml:space="preserve">В целях формирования здорового образа жизни у населения создавались благоприятные условия для занятий физической культурой и спортом. В Новосибирской области развивается более 100 видов спорта, доля жителей, систематически занимающихся физической культурой и спортом, составляет 49,9% (более 1,1 </w:t>
      </w:r>
      <w:r w:rsidR="00257347">
        <w:t>млн</w:t>
      </w:r>
      <w:r>
        <w:t xml:space="preserve"> человек). Наибольшей популярностью пользуются плавание, футбол, баскетбол, волейбол, шахматы, л</w:t>
      </w:r>
      <w:r w:rsidR="00257347">
        <w:t>е</w:t>
      </w:r>
      <w:r>
        <w:t xml:space="preserve">гкая атлетика, хоккей и различные виды единоборств. Численность спортсменов Новосибирской области, включенных в составы спортивных сборных команд Российской Федерации, составила 757 человек. В 2023 году проведено 975 массовых мероприятий, из них: 5 –международного уровня, 100 – всероссийского, 92 – межрегионального, а также 778 областных спортивно-массовых мероприятий, в которых приняло участие более 180 тыс. человек. </w:t>
      </w:r>
    </w:p>
    <w:p w:rsidR="00A56D64" w:rsidRDefault="00EC62B8">
      <w:pPr>
        <w:ind w:firstLine="709"/>
        <w:jc w:val="both"/>
        <w:rPr>
          <w:bCs/>
        </w:rPr>
      </w:pPr>
      <w:r>
        <w:rPr>
          <w:bCs/>
        </w:rPr>
        <w:t>В 2023 году по нац</w:t>
      </w:r>
      <w:r w:rsidR="00257347">
        <w:rPr>
          <w:bCs/>
        </w:rPr>
        <w:t xml:space="preserve">иональному </w:t>
      </w:r>
      <w:r>
        <w:rPr>
          <w:bCs/>
        </w:rPr>
        <w:t xml:space="preserve">проекту «Здравоохранение» привлечено более 9 млрд рублей, завершено строительство 27 </w:t>
      </w:r>
      <w:r>
        <w:t>фельдшерско-акушерских пунктов, открыты три новых центра амбулаторной онкологической помощи, завершено строительство поликлиники в</w:t>
      </w:r>
      <w:r w:rsidR="00257347">
        <w:t xml:space="preserve"> селе</w:t>
      </w:r>
      <w:r>
        <w:t xml:space="preserve"> Довольно</w:t>
      </w:r>
      <w:r w:rsidR="00257347">
        <w:t>е</w:t>
      </w:r>
      <w:r>
        <w:t xml:space="preserve">, </w:t>
      </w:r>
      <w:r>
        <w:rPr>
          <w:bCs/>
        </w:rPr>
        <w:t>амбулаторий в с</w:t>
      </w:r>
      <w:r w:rsidR="00257347">
        <w:rPr>
          <w:bCs/>
        </w:rPr>
        <w:t>е</w:t>
      </w:r>
      <w:r>
        <w:rPr>
          <w:bCs/>
        </w:rPr>
        <w:t xml:space="preserve">лах Каменка и </w:t>
      </w:r>
      <w:proofErr w:type="spellStart"/>
      <w:r>
        <w:rPr>
          <w:bCs/>
        </w:rPr>
        <w:t>Новолуговое</w:t>
      </w:r>
      <w:proofErr w:type="spellEnd"/>
      <w:r w:rsidR="00257347">
        <w:rPr>
          <w:bCs/>
        </w:rPr>
        <w:t xml:space="preserve"> Новосибирской области</w:t>
      </w:r>
      <w:r>
        <w:rPr>
          <w:bCs/>
        </w:rPr>
        <w:t>. В рамках регионального проекта «Формирование системы мотивации граждан к здоровому образу жизни, включая здоровое питание и отказ от вредных привычек» и региональной программы «Укрепление общественного здоровья» проводились мероприятия по профилактике социально-значимых заболеваний и пропаганде ведения здорового образа жизни, которыми охвачено более 300 тыс. человек.</w:t>
      </w:r>
    </w:p>
    <w:p w:rsidR="00A56D64" w:rsidRDefault="00EC62B8">
      <w:pPr>
        <w:widowControl w:val="0"/>
        <w:tabs>
          <w:tab w:val="left" w:pos="3331"/>
          <w:tab w:val="left" w:pos="4182"/>
          <w:tab w:val="left" w:pos="4607"/>
        </w:tabs>
        <w:ind w:firstLine="709"/>
        <w:jc w:val="both"/>
      </w:pPr>
      <w:r>
        <w:t>В рамках реализации Регионального проекта «Создание условий для реализации творческого потенциала нации («Творческие люди») (Новосибирская область)» национального проекта «Культура» состоялись крупные всероссийские и международные творческие проекты в области музыкального, театрального, изобразительного искусства и народного творчества. В ходе X Транссибирского арт-фестиваля реализовано 18 музыкальных и театральных проектов. Впервые прошел Всероссийский фестиваль традиционного вокально-хореографического искусства и театрального исполнительства «МЕСТО ПРИТЯЖЕНИЯ-СИБИРЬ», в программу которого вошли музыкально-драматургические и танцевально-театральные концертные программы и культурно-просветительские мероприятия. В рамках международного театрального фестиваля «Гравитация, который проходил на сцене ГАУК НСО «Новосибирский драматический театр «Старый дом», проведены открытые обсуждения со зрителями и российскими критиками после просмотра 20 спектаклей. Участниками театральной программы XV</w:t>
      </w:r>
      <w:r w:rsidR="00257347">
        <w:t> </w:t>
      </w:r>
      <w:r>
        <w:t xml:space="preserve">Международного Рождественского фестиваля искусств стали 6 ведущих московских театров, Государственный академический ансамбль народного танца имени Игоря Моисеева и продюсерский центр «Русское концертное агентство». Впервые в Рождественском фестивале принял участие Белорусский государственный академический театр юного зрителя. </w:t>
      </w:r>
    </w:p>
    <w:p w:rsidR="00A56D64" w:rsidRDefault="00EC62B8">
      <w:pPr>
        <w:widowControl w:val="0"/>
        <w:ind w:firstLine="709"/>
        <w:jc w:val="both"/>
        <w:rPr>
          <w:i/>
          <w:u w:val="single"/>
        </w:rPr>
      </w:pPr>
      <w:r>
        <w:rPr>
          <w:i/>
          <w:u w:val="single"/>
        </w:rPr>
        <w:t>6. Молодежная политика</w:t>
      </w:r>
    </w:p>
    <w:p w:rsidR="00A56D64" w:rsidRDefault="00EC62B8">
      <w:pPr>
        <w:ind w:firstLine="682"/>
        <w:jc w:val="both"/>
      </w:pPr>
      <w:r>
        <w:t xml:space="preserve">В Новосибирской области реализуется региональная программа Новосибирской области «Содействие занятости молодежи в Новосибирской области на период до 2030 года», в которую включены мероприятия, направленные на создание условий для реализации профессионального, трудового и предпринимательского потенциала молодежи. </w:t>
      </w:r>
    </w:p>
    <w:p w:rsidR="00A56D64" w:rsidRDefault="00EC62B8">
      <w:pPr>
        <w:ind w:firstLine="682"/>
        <w:jc w:val="both"/>
      </w:pPr>
      <w:r>
        <w:t>В 2023 году содействие в поиске подходящей работы оказано 20,7 тыс. гражданам в возрасте 14-35 лет, в том числе 428 выпускникам профессиональных образовательных организаций. Из числа обратившихся 12,9 тыс.</w:t>
      </w:r>
      <w:r w:rsidR="00257347">
        <w:t xml:space="preserve"> человек</w:t>
      </w:r>
      <w:r>
        <w:t xml:space="preserve"> нашли работу или доходное занятие, в том числе 241 выпускник.</w:t>
      </w:r>
    </w:p>
    <w:p w:rsidR="00A56D64" w:rsidRDefault="00EC62B8">
      <w:pPr>
        <w:ind w:firstLine="682"/>
        <w:jc w:val="both"/>
      </w:pPr>
      <w:r>
        <w:t xml:space="preserve">В период вынужденной безработицы 11,6 тыс. молодых людей получали социальную поддержку в виде пособий по безработице, в том числе 313 выпускников. Для 220 граждан молодого возраста, испытывающих трудности в поиске работы, а также для 6,8 несовершеннолетних граждан в свободное от учебы время организовано временное трудоустройство. На профессиональное обучение востребованным на рынке труда профессиям направлены 843 безработных гражданина молодого возраста. Содействие в организации самозанятости получили 742 молодого человека, в результате собственное дело организовал 301 человек, относящихся к категории молодежи. Единовременную помощь на организацию собственного дела в размере до 350 тыс. рублей получили 52 молодых человека. </w:t>
      </w:r>
    </w:p>
    <w:p w:rsidR="00A56D64" w:rsidRDefault="00EC62B8">
      <w:pPr>
        <w:widowControl w:val="0"/>
        <w:ind w:firstLine="709"/>
        <w:jc w:val="both"/>
      </w:pPr>
      <w:r>
        <w:t xml:space="preserve">В рамках национального проекта «Культура» проведено 5 творческих состязаний, направленных на поддержку талантливой молодежи в сфере музыкального искусства, реализовано 10 всероссийских и международных творческих проектов в сфере музыкального, театрального, изобразительного искусства и народного творчества. По итогам профессионально значимых конкурсов всероссийского и международного уровней присуждена 171 стипендия Губернатора Новосибирской области одаренным детям и творческой молодежи в сфере культуры и искусства, в том числе 21 именная стипендия.  </w:t>
      </w:r>
    </w:p>
    <w:p w:rsidR="00A56D64" w:rsidRDefault="00EC62B8">
      <w:pPr>
        <w:ind w:firstLine="709"/>
        <w:jc w:val="both"/>
      </w:pPr>
      <w:r>
        <w:t>Ежегодно проводится молод</w:t>
      </w:r>
      <w:r w:rsidR="00257347">
        <w:t>е</w:t>
      </w:r>
      <w:r>
        <w:t>жная добровольческая акция «Снежный десант», направленная на развитие добровольчества и создание условий для реализации потенциала молод</w:t>
      </w:r>
      <w:r w:rsidR="00257347">
        <w:t>е</w:t>
      </w:r>
      <w:r>
        <w:t xml:space="preserve">жи в социально-экономической сфере, патриотическое воспитание, а также формирование ценностей здорового образа жизни.  Всего в акции приняло участие более 80 тыс. человек. В ходе акции сформировано 15 студенческих отрядов общим количеством 315 человек из обучающихся в 12 образовательных организациях высшего образования и 4 образовательных организациях среднего профессионального образования. Студенческие отряды посетили 145 населенных пунктов в 30 муниципальных районах Новосибирской области.  В результате оказана помощь 505 ветеранам Великой Отечественной войны, труженикам тыла, одиноким пенсионерам, адресная помощь 66 семьям мобилизованных, приведены в надлежащее состояние 76 памятников и объектов культуры; проведена </w:t>
      </w:r>
      <w:proofErr w:type="spellStart"/>
      <w:r>
        <w:t>профориентационная</w:t>
      </w:r>
      <w:proofErr w:type="spellEnd"/>
      <w:r>
        <w:t xml:space="preserve"> работа, занятия по патриотическому воспитанию с более 30 тыс. школьников. </w:t>
      </w:r>
    </w:p>
    <w:p w:rsidR="00CA67D6" w:rsidRDefault="00EC62B8" w:rsidP="00CA67D6">
      <w:pPr>
        <w:widowControl w:val="0"/>
        <w:tabs>
          <w:tab w:val="center" w:pos="2514"/>
          <w:tab w:val="left" w:pos="3331"/>
          <w:tab w:val="left" w:pos="4182"/>
          <w:tab w:val="left" w:pos="4607"/>
        </w:tabs>
        <w:ind w:firstLine="709"/>
        <w:jc w:val="both"/>
      </w:pPr>
      <w:r>
        <w:t>В 2023 году в регионе была продолжена работа по реализации федеральной программы социальной поддержки молодежи «Пушкинская карта» (далее – Проект). К участию в Проекте присоединилась 201 организация, в т</w:t>
      </w:r>
      <w:r w:rsidR="00165BD1">
        <w:t xml:space="preserve">ом </w:t>
      </w:r>
      <w:r>
        <w:t>ч</w:t>
      </w:r>
      <w:r w:rsidR="00165BD1">
        <w:t>исле</w:t>
      </w:r>
      <w:r>
        <w:t>: 37</w:t>
      </w:r>
      <w:r w:rsidR="00165BD1">
        <w:t> </w:t>
      </w:r>
      <w:r>
        <w:t>государственных организаций сферы культуры и образования, 18</w:t>
      </w:r>
      <w:r w:rsidR="00165BD1">
        <w:t> </w:t>
      </w:r>
      <w:r>
        <w:t>негосударственных и 146 муниципальных организаций.</w:t>
      </w:r>
    </w:p>
    <w:p w:rsidR="00C81991" w:rsidRDefault="00C81991">
      <w:pPr>
        <w:widowControl w:val="0"/>
        <w:ind w:firstLine="709"/>
        <w:jc w:val="both"/>
      </w:pPr>
    </w:p>
    <w:p w:rsidR="00A56D64" w:rsidRDefault="00EC62B8">
      <w:pPr>
        <w:widowControl w:val="0"/>
        <w:ind w:firstLine="709"/>
        <w:jc w:val="both"/>
        <w:rPr>
          <w:i/>
          <w:u w:val="single"/>
        </w:rPr>
      </w:pPr>
      <w:r>
        <w:t>7.</w:t>
      </w:r>
      <w:r>
        <w:rPr>
          <w:i/>
          <w:u w:val="single"/>
        </w:rPr>
        <w:t xml:space="preserve"> Развитие социального партнерства</w:t>
      </w:r>
    </w:p>
    <w:p w:rsidR="00A56D64" w:rsidRDefault="00EC62B8">
      <w:pPr>
        <w:widowControl w:val="0"/>
        <w:ind w:firstLine="709"/>
        <w:jc w:val="both"/>
      </w:pPr>
      <w:r>
        <w:t xml:space="preserve">Продолжалась работа по дальнейшему развитию коллективно-договорного регулирования на территории Новосибирской области. В 2023 году действовали </w:t>
      </w:r>
      <w:r>
        <w:rPr>
          <w:szCs w:val="20"/>
        </w:rPr>
        <w:t>12 региональных отраслевых соглашений, 34 территориальных соглашения, 97 территориальных отраслевых соглашений, 5241 зарегистрированный коллективный договор</w:t>
      </w:r>
      <w:r>
        <w:t xml:space="preserve">. Коллективно-договорными отношениями были охвачены 82% работников крупных и средних организаций Новосибирской области. </w:t>
      </w:r>
    </w:p>
    <w:p w:rsidR="00A56D64" w:rsidRDefault="00EC62B8">
      <w:pPr>
        <w:ind w:firstLine="709"/>
        <w:jc w:val="both"/>
        <w:rPr>
          <w:rFonts w:eastAsia="Calibri"/>
          <w:color w:val="000000"/>
          <w:lang w:eastAsia="en-US"/>
        </w:rPr>
      </w:pPr>
      <w:r>
        <w:rPr>
          <w:color w:val="000000"/>
          <w:szCs w:val="20"/>
        </w:rPr>
        <w:t>Обязательства Регионального соглашения распространяются на 2512 организаций, с численностью работников более 180 тыс. человек. По сравнению с предыдущим Региональным соглашением количество организаций-участников увеличилось на 234 за счет создания в 2023 году отделений Новосибирского регионального союза объединения работодателей «Союз руководителей предприятий и работодателей» в 14 муниципальных образованиях Новосибирской области.</w:t>
      </w:r>
    </w:p>
    <w:p w:rsidR="00A56D64" w:rsidRDefault="00EC62B8">
      <w:pPr>
        <w:ind w:firstLine="709"/>
        <w:jc w:val="both"/>
        <w:rPr>
          <w:rFonts w:eastAsia="Calibri"/>
          <w:color w:val="FF0000"/>
        </w:rPr>
      </w:pPr>
      <w:r>
        <w:rPr>
          <w:rFonts w:eastAsia="Calibri"/>
          <w:color w:val="000000"/>
          <w:lang w:eastAsia="en-US"/>
        </w:rPr>
        <w:t xml:space="preserve">Проведено 5 заседаний Новосибирской областной трехсторонней комиссии по регулированию социально-трудовых отношений, на которых рассмотрено 23 вопроса, 103 заседания территориальных трехсторонних комиссий по регулированию социально трудовых отношений, на которых рассмотрено 249 вопросов </w:t>
      </w:r>
      <w:r w:rsidR="00CA67D6">
        <w:t>(из них в сфере развития системы социального</w:t>
      </w:r>
      <w:r w:rsidR="00557898">
        <w:t xml:space="preserve"> партнерства</w:t>
      </w:r>
      <w:r w:rsidR="00CA67D6">
        <w:t xml:space="preserve"> – 74, занятости населения – 69, оплаты труда – 66, охраны труда – 40), в том числе вопросы соблюдения трудовых прав и гарантий работников, обеспечения легализации теневой занятости, повышения уровня оплаты труда, увеличения безопасных рабочих мест и т.д.</w:t>
      </w:r>
    </w:p>
    <w:p w:rsidR="00A56D64" w:rsidRDefault="00EC62B8">
      <w:pPr>
        <w:widowControl w:val="0"/>
        <w:ind w:firstLine="709"/>
        <w:jc w:val="both"/>
      </w:pPr>
      <w:r>
        <w:t>Органами по труду</w:t>
      </w:r>
      <w:r w:rsidR="00557898">
        <w:t xml:space="preserve"> администраций </w:t>
      </w:r>
      <w:r>
        <w:t xml:space="preserve">муниципальных районов и городских округов Новосибирской области осуществлен контроль за выполнением более 360 коллективных договоров и соглашений, оказана методическая и практическая помощь по их заключению. </w:t>
      </w:r>
    </w:p>
    <w:p w:rsidR="00C81991" w:rsidRDefault="00EC62B8">
      <w:pPr>
        <w:widowControl w:val="0"/>
        <w:ind w:firstLine="709"/>
        <w:jc w:val="both"/>
      </w:pPr>
      <w:r>
        <w:t>В целях привлечения общественного внимания к важности социальных вопросов на уровне организаций Новосибирской области, демонстрации конкретных примеров решения социальных задач, а также стимулирования организаций к заимствованию положительного опыта проведен региональный этап ежегодного всероссийского конкурса «Российская организация высокой социальной эффективности». На региональный этап конкурса поступила 41 заявка от 37 организаций. Признаны победителями 8 организаций в 9 номинациях</w:t>
      </w:r>
      <w:r w:rsidR="00C81991">
        <w:t xml:space="preserve">. </w:t>
      </w:r>
    </w:p>
    <w:p w:rsidR="00A56D64" w:rsidRDefault="00EC62B8">
      <w:pPr>
        <w:widowControl w:val="0"/>
        <w:ind w:firstLine="709"/>
        <w:jc w:val="both"/>
      </w:pPr>
      <w:r>
        <w:t>В 2024 году деятельность Правительства Новосибирской области по выполнению обязательств Регионального соглашения будет продолжена и направлена на развитие экономики, рынка труда, социальной сферы, повышение уровня жизни населения.</w:t>
      </w:r>
    </w:p>
    <w:p w:rsidR="00A56D64" w:rsidRDefault="00A56D64"/>
    <w:p w:rsidR="00BB6A2E" w:rsidRDefault="00BB6A2E"/>
    <w:p w:rsidR="00BB6A2E" w:rsidRDefault="00BB6A2E"/>
    <w:p w:rsidR="00BB6A2E" w:rsidRDefault="00BB6A2E"/>
    <w:p w:rsidR="00BB6A2E" w:rsidRDefault="00BB6A2E"/>
    <w:p w:rsidR="00BB6A2E" w:rsidRDefault="00BB6A2E" w:rsidP="009E5ED5">
      <w:pPr>
        <w:widowControl w:val="0"/>
      </w:pPr>
    </w:p>
    <w:sectPr w:rsidR="00BB6A2E" w:rsidSect="00014904">
      <w:headerReference w:type="default" r:id="rId8"/>
      <w:endnotePr>
        <w:numFmt w:val="decimal"/>
      </w:endnotePr>
      <w:pgSz w:w="11906" w:h="16838" w:code="9"/>
      <w:pgMar w:top="1134" w:right="567" w:bottom="1134" w:left="1418" w:header="680"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C9D" w:rsidRDefault="00D93C9D">
      <w:r>
        <w:separator/>
      </w:r>
    </w:p>
  </w:endnote>
  <w:endnote w:type="continuationSeparator" w:id="0">
    <w:p w:rsidR="00D93C9D" w:rsidRDefault="00D9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C9D" w:rsidRDefault="00D93C9D">
      <w:r>
        <w:separator/>
      </w:r>
    </w:p>
  </w:footnote>
  <w:footnote w:type="continuationSeparator" w:id="0">
    <w:p w:rsidR="00D93C9D" w:rsidRDefault="00D93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E2" w:rsidRDefault="00635960" w:rsidP="009148EF">
    <w:pPr>
      <w:pStyle w:val="af"/>
      <w:jc w:val="center"/>
    </w:pPr>
    <w:r w:rsidRPr="006605B0">
      <w:rPr>
        <w:sz w:val="20"/>
        <w:szCs w:val="20"/>
      </w:rPr>
      <w:fldChar w:fldCharType="begin"/>
    </w:r>
    <w:r w:rsidRPr="006605B0">
      <w:rPr>
        <w:sz w:val="20"/>
        <w:szCs w:val="20"/>
      </w:rPr>
      <w:instrText>PAGE   \* MERGEFORMAT</w:instrText>
    </w:r>
    <w:r w:rsidRPr="006605B0">
      <w:rPr>
        <w:sz w:val="20"/>
        <w:szCs w:val="20"/>
      </w:rPr>
      <w:fldChar w:fldCharType="separate"/>
    </w:r>
    <w:r w:rsidR="00507DF6">
      <w:rPr>
        <w:noProof/>
        <w:sz w:val="20"/>
        <w:szCs w:val="20"/>
      </w:rPr>
      <w:t>8</w:t>
    </w:r>
    <w:r w:rsidRPr="006605B0">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B5ED9"/>
    <w:multiLevelType w:val="hybridMultilevel"/>
    <w:tmpl w:val="03D0971A"/>
    <w:lvl w:ilvl="0" w:tplc="A66625F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FDF657F"/>
    <w:multiLevelType w:val="hybridMultilevel"/>
    <w:tmpl w:val="2124A77A"/>
    <w:lvl w:ilvl="0" w:tplc="72EC3458">
      <w:start w:val="1"/>
      <w:numFmt w:val="decimal"/>
      <w:lvlText w:val="%1."/>
      <w:lvlJc w:val="center"/>
      <w:pPr>
        <w:ind w:left="720" w:hanging="360"/>
      </w:pPr>
      <w:rPr>
        <w:rFonts w:hint="default"/>
      </w:rPr>
    </w:lvl>
    <w:lvl w:ilvl="1" w:tplc="9E4688B6">
      <w:start w:val="1"/>
      <w:numFmt w:val="lowerLetter"/>
      <w:lvlText w:val="%2."/>
      <w:lvlJc w:val="left"/>
      <w:pPr>
        <w:ind w:left="1440" w:hanging="360"/>
      </w:pPr>
      <w:rPr>
        <w:rFonts w:cs="Times New Roman"/>
      </w:rPr>
    </w:lvl>
    <w:lvl w:ilvl="2" w:tplc="2DCEBFE0">
      <w:start w:val="1"/>
      <w:numFmt w:val="lowerRoman"/>
      <w:lvlText w:val="%3."/>
      <w:lvlJc w:val="right"/>
      <w:pPr>
        <w:ind w:left="2160" w:hanging="180"/>
      </w:pPr>
      <w:rPr>
        <w:rFonts w:cs="Times New Roman"/>
      </w:rPr>
    </w:lvl>
    <w:lvl w:ilvl="3" w:tplc="76C8658C">
      <w:start w:val="1"/>
      <w:numFmt w:val="decimal"/>
      <w:lvlText w:val="%4."/>
      <w:lvlJc w:val="left"/>
      <w:pPr>
        <w:ind w:left="2880" w:hanging="360"/>
      </w:pPr>
      <w:rPr>
        <w:rFonts w:cs="Times New Roman"/>
      </w:rPr>
    </w:lvl>
    <w:lvl w:ilvl="4" w:tplc="2A66D7E6">
      <w:start w:val="1"/>
      <w:numFmt w:val="lowerLetter"/>
      <w:lvlText w:val="%5."/>
      <w:lvlJc w:val="left"/>
      <w:pPr>
        <w:ind w:left="3600" w:hanging="360"/>
      </w:pPr>
      <w:rPr>
        <w:rFonts w:cs="Times New Roman"/>
      </w:rPr>
    </w:lvl>
    <w:lvl w:ilvl="5" w:tplc="3F62F466">
      <w:start w:val="1"/>
      <w:numFmt w:val="lowerRoman"/>
      <w:lvlText w:val="%6."/>
      <w:lvlJc w:val="right"/>
      <w:pPr>
        <w:ind w:left="4320" w:hanging="180"/>
      </w:pPr>
      <w:rPr>
        <w:rFonts w:cs="Times New Roman"/>
      </w:rPr>
    </w:lvl>
    <w:lvl w:ilvl="6" w:tplc="873CA7F8">
      <w:start w:val="1"/>
      <w:numFmt w:val="decimal"/>
      <w:lvlText w:val="%7."/>
      <w:lvlJc w:val="left"/>
      <w:pPr>
        <w:ind w:left="5040" w:hanging="360"/>
      </w:pPr>
      <w:rPr>
        <w:rFonts w:cs="Times New Roman"/>
      </w:rPr>
    </w:lvl>
    <w:lvl w:ilvl="7" w:tplc="74A8ED1C">
      <w:start w:val="1"/>
      <w:numFmt w:val="lowerLetter"/>
      <w:lvlText w:val="%8."/>
      <w:lvlJc w:val="left"/>
      <w:pPr>
        <w:ind w:left="5760" w:hanging="360"/>
      </w:pPr>
      <w:rPr>
        <w:rFonts w:cs="Times New Roman"/>
      </w:rPr>
    </w:lvl>
    <w:lvl w:ilvl="8" w:tplc="063811BC">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64"/>
    <w:rsid w:val="00032092"/>
    <w:rsid w:val="00165BD1"/>
    <w:rsid w:val="001A397B"/>
    <w:rsid w:val="00257347"/>
    <w:rsid w:val="00507DF6"/>
    <w:rsid w:val="00557898"/>
    <w:rsid w:val="00635960"/>
    <w:rsid w:val="00716E42"/>
    <w:rsid w:val="00747770"/>
    <w:rsid w:val="007C231E"/>
    <w:rsid w:val="008D2F72"/>
    <w:rsid w:val="009E5ED5"/>
    <w:rsid w:val="00A1512B"/>
    <w:rsid w:val="00A56D64"/>
    <w:rsid w:val="00B90A2E"/>
    <w:rsid w:val="00BB6A2E"/>
    <w:rsid w:val="00C81991"/>
    <w:rsid w:val="00CA67D6"/>
    <w:rsid w:val="00D93C9D"/>
    <w:rsid w:val="00DC2DA1"/>
    <w:rsid w:val="00E951DD"/>
    <w:rsid w:val="00EC62B8"/>
    <w:rsid w:val="00F46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4D038-8530-44FC-8661-093DF4E4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header"/>
    <w:basedOn w:val="a"/>
    <w:link w:val="af0"/>
    <w:uiPriority w:val="99"/>
    <w:pPr>
      <w:tabs>
        <w:tab w:val="center" w:pos="4153"/>
        <w:tab w:val="right" w:pos="8306"/>
      </w:tabs>
    </w:pPr>
  </w:style>
  <w:style w:type="character" w:customStyle="1" w:styleId="af0">
    <w:name w:val="Верхний колонтитул Знак"/>
    <w:link w:val="af"/>
    <w:uiPriority w:val="99"/>
    <w:rPr>
      <w:sz w:val="28"/>
      <w:szCs w:val="28"/>
      <w:lang w:val="ru-RU" w:eastAsia="ru-RU" w:bidi="ar-SA"/>
    </w:rPr>
  </w:style>
  <w:style w:type="character" w:styleId="af1">
    <w:name w:val="Hyperlink"/>
    <w:rPr>
      <w:rFonts w:cs="Times New Roman"/>
      <w:color w:val="0000FF"/>
      <w:u w:val="single"/>
    </w:rPr>
  </w:style>
  <w:style w:type="paragraph" w:styleId="25">
    <w:name w:val="Body Text 2"/>
    <w:basedOn w:val="a"/>
    <w:link w:val="26"/>
    <w:pPr>
      <w:jc w:val="both"/>
    </w:pPr>
  </w:style>
  <w:style w:type="character" w:customStyle="1" w:styleId="26">
    <w:name w:val="Основной текст 2 Знак"/>
    <w:link w:val="25"/>
    <w:rPr>
      <w:sz w:val="28"/>
      <w:szCs w:val="28"/>
      <w:lang w:val="ru-RU" w:eastAsia="ru-RU" w:bidi="ar-SA"/>
    </w:rPr>
  </w:style>
  <w:style w:type="paragraph" w:styleId="33">
    <w:name w:val="Body Text 3"/>
    <w:basedOn w:val="a"/>
    <w:link w:val="34"/>
    <w:pPr>
      <w:jc w:val="center"/>
    </w:pPr>
    <w:rPr>
      <w:b/>
      <w:bCs/>
    </w:rPr>
  </w:style>
  <w:style w:type="character" w:customStyle="1" w:styleId="34">
    <w:name w:val="Основной текст 3 Знак"/>
    <w:link w:val="33"/>
    <w:rPr>
      <w:b/>
      <w:bCs/>
      <w:sz w:val="28"/>
      <w:szCs w:val="28"/>
      <w:lang w:val="ru-RU" w:eastAsia="ru-RU" w:bidi="ar-SA"/>
    </w:rPr>
  </w:style>
  <w:style w:type="table" w:styleId="af2">
    <w:name w:val="Table Grid"/>
    <w:basedOn w:val="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alloon Text"/>
    <w:basedOn w:val="a"/>
    <w:semiHidden/>
    <w:rPr>
      <w:rFonts w:ascii="Tahoma" w:hAnsi="Tahoma" w:cs="Tahoma"/>
      <w:sz w:val="16"/>
      <w:szCs w:val="16"/>
    </w:rPr>
  </w:style>
  <w:style w:type="paragraph" w:customStyle="1" w:styleId="13">
    <w:name w:val="Цитата1"/>
    <w:basedOn w:val="a"/>
    <w:pPr>
      <w:tabs>
        <w:tab w:val="left" w:pos="2552"/>
      </w:tabs>
      <w:ind w:left="1701" w:right="-369" w:hanging="2694"/>
      <w:jc w:val="both"/>
    </w:pPr>
    <w:rPr>
      <w:szCs w:val="20"/>
    </w:rPr>
  </w:style>
  <w:style w:type="paragraph" w:styleId="af4">
    <w:name w:val="footer"/>
    <w:basedOn w:val="a"/>
    <w:link w:val="af5"/>
    <w:uiPriority w:val="99"/>
    <w:pPr>
      <w:tabs>
        <w:tab w:val="center" w:pos="4677"/>
        <w:tab w:val="right" w:pos="9355"/>
      </w:tabs>
    </w:pPr>
  </w:style>
  <w:style w:type="character" w:customStyle="1" w:styleId="43">
    <w:name w:val="Знак Знак4"/>
    <w:rPr>
      <w:rFonts w:ascii="Times New Roman" w:eastAsia="Times New Roman" w:hAnsi="Times New Roman" w:cs="Times New Roman"/>
      <w:sz w:val="28"/>
      <w:szCs w:val="28"/>
      <w:lang w:eastAsia="ru-RU"/>
    </w:rPr>
  </w:style>
  <w:style w:type="paragraph" w:customStyle="1" w:styleId="Default">
    <w:name w:val="Default"/>
    <w:rPr>
      <w:rFonts w:ascii="Calibri" w:hAnsi="Calibri" w:cs="Calibri"/>
      <w:color w:val="000000"/>
      <w:sz w:val="24"/>
      <w:szCs w:val="24"/>
    </w:rPr>
  </w:style>
  <w:style w:type="paragraph" w:customStyle="1" w:styleId="Style5">
    <w:name w:val="Style5"/>
    <w:basedOn w:val="a"/>
    <w:uiPriority w:val="99"/>
    <w:pPr>
      <w:widowControl w:val="0"/>
      <w:spacing w:line="372" w:lineRule="exact"/>
      <w:ind w:firstLine="701"/>
      <w:jc w:val="both"/>
    </w:pPr>
    <w:rPr>
      <w:sz w:val="24"/>
      <w:szCs w:val="24"/>
    </w:rPr>
  </w:style>
  <w:style w:type="character" w:customStyle="1" w:styleId="FontStyle14">
    <w:name w:val="Font Style14"/>
    <w:uiPriority w:val="99"/>
    <w:rPr>
      <w:rFonts w:ascii="Times New Roman" w:hAnsi="Times New Roman" w:cs="Times New Roman"/>
      <w:b/>
      <w:bCs/>
      <w:sz w:val="26"/>
      <w:szCs w:val="26"/>
    </w:rPr>
  </w:style>
  <w:style w:type="character" w:customStyle="1" w:styleId="FontStyle15">
    <w:name w:val="Font Style15"/>
    <w:uiPriority w:val="99"/>
    <w:rPr>
      <w:rFonts w:ascii="Times New Roman" w:hAnsi="Times New Roman" w:cs="Times New Roman"/>
      <w:sz w:val="26"/>
      <w:szCs w:val="26"/>
    </w:rPr>
  </w:style>
  <w:style w:type="paragraph" w:customStyle="1" w:styleId="ConsPlusNormal">
    <w:name w:val="ConsPlusNormal"/>
    <w:pPr>
      <w:widowControl w:val="0"/>
      <w:ind w:firstLine="720"/>
    </w:pPr>
    <w:rPr>
      <w:rFonts w:ascii="Arial" w:hAnsi="Arial" w:cs="Arial"/>
    </w:rPr>
  </w:style>
  <w:style w:type="paragraph" w:customStyle="1" w:styleId="p5">
    <w:name w:val="p5"/>
    <w:basedOn w:val="a"/>
    <w:pPr>
      <w:spacing w:before="100" w:beforeAutospacing="1" w:after="100" w:afterAutospacing="1"/>
    </w:pPr>
    <w:rPr>
      <w:sz w:val="24"/>
      <w:szCs w:val="24"/>
    </w:rPr>
  </w:style>
  <w:style w:type="character" w:customStyle="1" w:styleId="af5">
    <w:name w:val="Нижний колонтитул Знак"/>
    <w:link w:val="af4"/>
    <w:uiPriority w:val="99"/>
    <w:rPr>
      <w:sz w:val="28"/>
      <w:szCs w:val="28"/>
    </w:rPr>
  </w:style>
  <w:style w:type="paragraph" w:styleId="af6">
    <w:name w:val="List Paragraph"/>
    <w:basedOn w:val="a"/>
    <w:uiPriority w:val="34"/>
    <w:qFormat/>
    <w:pPr>
      <w:spacing w:after="200" w:line="276" w:lineRule="auto"/>
      <w:ind w:left="720"/>
      <w:contextualSpacing/>
    </w:pPr>
    <w:rPr>
      <w:rFonts w:ascii="Calibri" w:hAnsi="Calibri"/>
      <w:sz w:val="22"/>
      <w:szCs w:val="22"/>
    </w:rPr>
  </w:style>
  <w:style w:type="paragraph" w:styleId="af7">
    <w:name w:val="endnote text"/>
    <w:basedOn w:val="a"/>
    <w:link w:val="af8"/>
    <w:uiPriority w:val="99"/>
    <w:semiHidden/>
    <w:unhideWhenUsed/>
    <w:rPr>
      <w:sz w:val="20"/>
      <w:szCs w:val="20"/>
    </w:rPr>
  </w:style>
  <w:style w:type="character" w:customStyle="1" w:styleId="af8">
    <w:name w:val="Текст концевой сноски Знак"/>
    <w:basedOn w:val="a0"/>
    <w:link w:val="af7"/>
    <w:uiPriority w:val="99"/>
    <w:semiHidden/>
  </w:style>
  <w:style w:type="character" w:styleId="af9">
    <w:name w:val="endnote reference"/>
    <w:uiPriority w:val="99"/>
    <w:unhideWhenUsed/>
    <w:rPr>
      <w:vertAlign w:val="superscript"/>
    </w:rPr>
  </w:style>
  <w:style w:type="paragraph" w:styleId="afa">
    <w:name w:val="No Spacing"/>
    <w:link w:val="afb"/>
    <w:uiPriority w:val="1"/>
    <w:qFormat/>
    <w:rPr>
      <w:sz w:val="24"/>
      <w:szCs w:val="24"/>
    </w:rPr>
  </w:style>
  <w:style w:type="character" w:customStyle="1" w:styleId="afb">
    <w:name w:val="Без интервала Знак"/>
    <w:link w:val="afa"/>
    <w:uiPriority w:val="1"/>
    <w:rPr>
      <w:sz w:val="24"/>
      <w:szCs w:val="24"/>
    </w:rPr>
  </w:style>
  <w:style w:type="paragraph" w:customStyle="1" w:styleId="rtejustify">
    <w:name w:val="rtejustify"/>
    <w:basedOn w:val="a"/>
    <w:pPr>
      <w:spacing w:before="100" w:beforeAutospacing="1" w:after="100" w:afterAutospacing="1"/>
    </w:pPr>
    <w:rPr>
      <w:sz w:val="24"/>
      <w:szCs w:val="24"/>
    </w:rPr>
  </w:style>
  <w:style w:type="character" w:styleId="afc">
    <w:name w:val="Strong"/>
    <w:basedOn w:val="a0"/>
    <w:uiPriority w:val="22"/>
    <w:qFormat/>
    <w:rPr>
      <w:b/>
      <w:bCs/>
    </w:rPr>
  </w:style>
  <w:style w:type="character" w:customStyle="1" w:styleId="10">
    <w:name w:val="Заголовок 1 Знак"/>
    <w:basedOn w:val="a0"/>
    <w:link w:val="1"/>
    <w:uiPriority w:val="9"/>
    <w:rPr>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3A946-DBBC-49CC-8B1F-820B6E69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3902</Words>
  <Characters>22244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dc:creator>
  <cp:lastModifiedBy>Раздорская Юлия Николаевна</cp:lastModifiedBy>
  <cp:revision>9</cp:revision>
  <cp:lastPrinted>2024-02-14T04:45:00Z</cp:lastPrinted>
  <dcterms:created xsi:type="dcterms:W3CDTF">2024-02-13T05:16:00Z</dcterms:created>
  <dcterms:modified xsi:type="dcterms:W3CDTF">2024-02-20T07:18:00Z</dcterms:modified>
</cp:coreProperties>
</file>