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</w:p>
    <w:p>
      <w:pPr>
        <w:pStyle w:val="Normal"/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</w:p>
    <w:p>
      <w:pPr>
        <w:pStyle w:val="Normal"/>
        <w:keepNext/>
        <w:widowControl w:val="o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</w:p>
    <w:p>
      <w:pPr>
        <w:pStyle w:val="Normal"/>
        <w:keepNext/>
        <w:widowControl w:val="off"/>
        <w:jc w:val="center"/>
        <w:rPr>
          <w:b/>
        </w:rPr>
      </w:pPr>
      <w:r>
        <w:rPr>
          <w:b/>
        </w:rPr>
      </w:r>
    </w:p>
    <w:p>
      <w:pPr>
        <w:pStyle w:val="Normal"/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</w:p>
    <w:p>
      <w:pPr>
        <w:pStyle w:val="Normal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</w:t>
            </w:r>
            <w:r>
              <w:rPr>
                <w:sz w:val="28"/>
                <w:szCs w:val="28"/>
              </w:rPr>
              <w:t xml:space="preserve">.2023</w:t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71"/>
        <w:gridCol w:w="3402"/>
      </w:tblGrid>
      <w:tr>
        <w:trPr/>
        <w:tc>
          <w:tcPr>
            <w:tcW w:w="67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О выполнении в </w:t>
            </w:r>
            <w:r>
              <w:rPr>
                <w:sz w:val="28"/>
                <w:szCs w:val="20"/>
              </w:rPr>
              <w:t xml:space="preserve">1 полугодии </w:t>
            </w:r>
            <w:r>
              <w:rPr>
                <w:sz w:val="28"/>
                <w:szCs w:val="20"/>
              </w:rPr>
              <w:t xml:space="preserve">202</w:t>
            </w:r>
            <w:r>
              <w:rPr>
                <w:sz w:val="28"/>
                <w:szCs w:val="20"/>
              </w:rPr>
              <w:t xml:space="preserve">3</w:t>
            </w:r>
            <w:r>
              <w:rPr>
                <w:sz w:val="28"/>
                <w:szCs w:val="20"/>
              </w:rPr>
              <w:t xml:space="preserve"> год</w:t>
            </w:r>
            <w:r>
              <w:rPr>
                <w:sz w:val="28"/>
                <w:szCs w:val="20"/>
              </w:rPr>
              <w:t xml:space="preserve">а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соглашения между областным объединени</w:t>
            </w:r>
            <w:r>
              <w:rPr>
                <w:sz w:val="28"/>
                <w:szCs w:val="20"/>
              </w:rPr>
              <w:t xml:space="preserve">ем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организаций </w:t>
            </w:r>
            <w:r>
              <w:rPr>
                <w:sz w:val="28"/>
                <w:szCs w:val="20"/>
              </w:rPr>
              <w:t xml:space="preserve">профсоюзов, областными объединениями работодателей и Правительством Новосибирской области на</w:t>
            </w:r>
            <w:r>
              <w:rPr>
                <w:sz w:val="28"/>
                <w:szCs w:val="20"/>
              </w:rPr>
              <w:t xml:space="preserve"> </w:t>
            </w:r>
            <w:r>
              <w:rPr>
                <w:sz w:val="28"/>
                <w:szCs w:val="20"/>
              </w:rPr>
              <w:t xml:space="preserve">202</w:t>
            </w:r>
            <w:r>
              <w:rPr>
                <w:sz w:val="28"/>
                <w:szCs w:val="20"/>
              </w:rPr>
              <w:t xml:space="preserve">3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0"/>
              </w:rPr>
              <w:t xml:space="preserve">202</w:t>
            </w:r>
            <w:r>
              <w:rPr>
                <w:sz w:val="28"/>
                <w:szCs w:val="20"/>
              </w:rPr>
              <w:t xml:space="preserve">5</w:t>
            </w:r>
            <w:r>
              <w:rPr>
                <w:sz w:val="28"/>
                <w:szCs w:val="20"/>
              </w:rPr>
              <w:t xml:space="preserve"> годы </w:t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сторон Комиссии обменялись информацией о выполнении в</w:t>
      </w:r>
      <w:r>
        <w:rPr>
          <w:sz w:val="28"/>
          <w:szCs w:val="28"/>
        </w:rPr>
        <w:t xml:space="preserve"> </w:t>
      </w:r>
      <w:r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взятых на себя обязательств </w:t>
      </w:r>
      <w:r>
        <w:rPr>
          <w:sz w:val="28"/>
          <w:szCs w:val="28"/>
        </w:rPr>
        <w:t xml:space="preserve">Регионального соглашения между областным объединением организаций профсоюзов, областными объединениями работодателей и Правительством Новос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бирской области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 – </w:t>
      </w:r>
      <w:r>
        <w:rPr>
          <w:sz w:val="28"/>
          <w:szCs w:val="28"/>
        </w:rPr>
        <w:t xml:space="preserve">Региональное </w:t>
      </w: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отмечает, что на т</w:t>
      </w:r>
      <w:r>
        <w:rPr>
          <w:sz w:val="28"/>
          <w:szCs w:val="28"/>
        </w:rPr>
        <w:t xml:space="preserve">ерритории Новосибирской области в </w:t>
      </w:r>
      <w:r>
        <w:rPr>
          <w:sz w:val="28"/>
          <w:szCs w:val="28"/>
        </w:rPr>
        <w:t xml:space="preserve">целях обеспечения достижения стратегических целей и целевых показателей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осуществлялась</w:t>
      </w:r>
      <w:r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национальных проектов, 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ведомственных целевых программ Новосибирской области.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2023 года объем промышленного производства по сравнению с 1 полугодием 2022 года увеличился на 5,6%. Введено в действие жилых домов на 48,3% больше, чем в аналогичном периоде прошлого года. Объем строительных работ вырос на 19,1%, платных услуг – на 15,6%, общественного питания – на 7,8%.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мероприятия по содействию занятости населения способствовали снижению на 1 июля 2023 года по сравнению с соответствующим периодом 2022 года</w:t>
      </w:r>
      <w:r>
        <w:rPr>
          <w:sz w:val="28"/>
          <w:szCs w:val="28"/>
        </w:rPr>
        <w:t xml:space="preserve"> уровня официальной безработицы – </w:t>
      </w:r>
      <w:r>
        <w:rPr>
          <w:sz w:val="28"/>
          <w:szCs w:val="28"/>
        </w:rPr>
        <w:t xml:space="preserve">с 1,2% до 0,9%.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результате превентивных мер удалось не допустить массовых и незаконных сокращений работников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значительно сократить высвобождени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. Каждый </w:t>
      </w:r>
      <w:r>
        <w:rPr>
          <w:sz w:val="28"/>
          <w:szCs w:val="28"/>
        </w:rPr>
        <w:t xml:space="preserve">третий</w:t>
      </w:r>
      <w:r>
        <w:rPr>
          <w:sz w:val="28"/>
          <w:szCs w:val="28"/>
        </w:rPr>
        <w:t xml:space="preserve"> работник, оказавшийся под угрозой сокращения, остался на своем рабочем месте</w:t>
      </w:r>
      <w:r>
        <w:rPr>
          <w:sz w:val="28"/>
          <w:szCs w:val="28"/>
        </w:rPr>
        <w:t xml:space="preserve">, это </w:t>
      </w:r>
      <w:r>
        <w:rPr>
          <w:sz w:val="28"/>
          <w:szCs w:val="28"/>
        </w:rPr>
        <w:t xml:space="preserve">почти 800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содействии учреждений занятости населения в</w:t>
      </w:r>
      <w:r>
        <w:rPr>
          <w:sz w:val="28"/>
          <w:szCs w:val="28"/>
        </w:rPr>
        <w:t xml:space="preserve"> 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полугодии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трудоустроен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человек, открыли собственное дело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1,7 тыс.</w:t>
      </w:r>
      <w:r>
        <w:rPr>
          <w:sz w:val="28"/>
          <w:szCs w:val="28"/>
        </w:rPr>
        <w:t xml:space="preserve"> безработных граждан, в том числе </w:t>
      </w:r>
      <w:r>
        <w:rPr>
          <w:sz w:val="28"/>
          <w:szCs w:val="28"/>
        </w:rPr>
        <w:t xml:space="preserve">в рамках социаль</w:t>
      </w:r>
      <w:r>
        <w:rPr>
          <w:sz w:val="28"/>
          <w:szCs w:val="28"/>
        </w:rPr>
        <w:t xml:space="preserve">ного контракта 1,0 тыс. человек,</w:t>
      </w:r>
      <w:r>
        <w:rPr>
          <w:sz w:val="28"/>
          <w:szCs w:val="28"/>
        </w:rPr>
        <w:t xml:space="preserve"> 136 человек получили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диновременную финансовую помощь на начало осуществления предпринимательской деятельности.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по профессиональной ориентации оказаны </w:t>
      </w:r>
      <w:r>
        <w:rPr>
          <w:sz w:val="28"/>
          <w:szCs w:val="28"/>
        </w:rPr>
        <w:t xml:space="preserve">12,2</w:t>
      </w:r>
      <w:r>
        <w:rPr>
          <w:sz w:val="28"/>
          <w:szCs w:val="28"/>
        </w:rPr>
        <w:t xml:space="preserve"> тыс. граждан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в возрасте 14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35</w:t>
      </w:r>
      <w:r>
        <w:rPr>
          <w:sz w:val="28"/>
          <w:szCs w:val="28"/>
        </w:rPr>
        <w:t xml:space="preserve"> лет и </w:t>
      </w:r>
      <w:r>
        <w:rPr>
          <w:sz w:val="28"/>
          <w:szCs w:val="28"/>
        </w:rPr>
        <w:t xml:space="preserve">935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, уволенны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в связи с ликвидацией организации либо сокращением численности </w:t>
      </w:r>
      <w:r>
        <w:rPr>
          <w:sz w:val="28"/>
          <w:szCs w:val="28"/>
        </w:rPr>
        <w:t xml:space="preserve">и штата </w:t>
      </w:r>
      <w:r>
        <w:rPr>
          <w:sz w:val="28"/>
          <w:szCs w:val="28"/>
        </w:rPr>
        <w:t xml:space="preserve">работников. Услуги</w:t>
      </w:r>
      <w:r>
        <w:rPr>
          <w:sz w:val="28"/>
          <w:szCs w:val="28"/>
        </w:rPr>
        <w:t xml:space="preserve"> по содействию в поиске подходящей работы </w:t>
      </w:r>
      <w:r>
        <w:rPr>
          <w:sz w:val="28"/>
          <w:szCs w:val="28"/>
        </w:rPr>
        <w:t xml:space="preserve">оказаны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10,6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тыс. граждан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, испытывающи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трудности в поиске работы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содействии учреждений занятости трудоустроен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 граждан указанных категорий.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Реализовывались мероприятия, </w:t>
      </w:r>
      <w:r>
        <w:rPr>
          <w:sz w:val="28"/>
          <w:szCs w:val="28"/>
        </w:rPr>
        <w:t xml:space="preserve">направленные на </w:t>
      </w: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ие рост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денежных доходов, </w:t>
      </w:r>
      <w:r>
        <w:rPr>
          <w:sz w:val="28"/>
          <w:szCs w:val="28"/>
        </w:rPr>
        <w:t xml:space="preserve">заработной платы и соблюдение основных государственных гарантий по оплате труда работников,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том числе минимального размера оплаты труда.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Принимались меры по обеспечению повышения уровня реального содержания заработной платы работников организаций посредством ежегодной индексации с учетом роста потребительских цен на товары и услуги</w:t>
      </w:r>
      <w:r>
        <w:rPr>
          <w:sz w:val="28"/>
          <w:szCs w:val="28"/>
        </w:rPr>
        <w:t xml:space="preserve">. С 1 августа 2023 года фонды оплаты труда работников государственных учреждений Новосибирской области за исключением категорий работников, определенных Указами Президента Российской Федерации, увеличены на 9,7%. </w:t>
      </w:r>
      <w:r>
        <w:rPr>
          <w:sz w:val="28"/>
          <w:szCs w:val="28"/>
        </w:rPr>
        <w:t xml:space="preserve">Повышение уровня реального содержания заработной платы категорий работников, определенных Указами Президента Российской Федерации, осуществляется путем доведения их средней заработной платы до средней заработной платы в регионе.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январе</w:t>
      </w:r>
      <w:r>
        <w:rPr>
          <w:rFonts w:eastAsia="Calibri"/>
          <w:sz w:val="28"/>
          <w:szCs w:val="28"/>
        </w:rPr>
        <w:t xml:space="preserve">-</w:t>
      </w:r>
      <w:r>
        <w:rPr>
          <w:rFonts w:eastAsia="Calibri"/>
          <w:sz w:val="28"/>
          <w:szCs w:val="28"/>
        </w:rPr>
        <w:t xml:space="preserve">июне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среднемесячная номинальная начисленная заработная плата работников организаций Новосибирской области составила </w:t>
      </w:r>
      <w:r>
        <w:rPr>
          <w:rFonts w:eastAsia="Calibri"/>
          <w:sz w:val="28"/>
          <w:szCs w:val="28"/>
        </w:rPr>
        <w:t xml:space="preserve">58510,5</w:t>
      </w:r>
      <w:r>
        <w:rPr>
          <w:rFonts w:eastAsia="Calibri"/>
          <w:sz w:val="28"/>
          <w:szCs w:val="28"/>
        </w:rPr>
        <w:t xml:space="preserve"> рубл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увеличившись по сравнению с январем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июнем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16,5</w:t>
      </w:r>
      <w:r>
        <w:rPr>
          <w:sz w:val="28"/>
          <w:szCs w:val="28"/>
        </w:rPr>
        <w:t xml:space="preserve">%. Индекс реальной начисленной заработной платы составил за этот период </w:t>
      </w:r>
      <w:r>
        <w:rPr>
          <w:sz w:val="28"/>
          <w:szCs w:val="28"/>
        </w:rPr>
        <w:t xml:space="preserve">112,3</w:t>
      </w:r>
      <w:r>
        <w:rPr>
          <w:sz w:val="28"/>
          <w:szCs w:val="28"/>
        </w:rPr>
        <w:t xml:space="preserve">%. </w:t>
      </w:r>
      <w:r>
        <w:rPr>
          <w:rFonts w:eastAsia="Calibri"/>
          <w:sz w:val="28"/>
          <w:szCs w:val="28"/>
        </w:rPr>
        <w:t xml:space="preserve">Рост среднемесячной номинальной начисленной заработной платы зафиксирован во всех видах экономической деятельности.</w:t>
      </w:r>
      <w:r>
        <w:t xml:space="preserve"> </w:t>
      </w:r>
      <w:r>
        <w:rPr>
          <w:rFonts w:eastAsia="Calibri"/>
          <w:sz w:val="28"/>
          <w:szCs w:val="28"/>
        </w:rPr>
        <w:t xml:space="preserve">В отраслях социальной сферы среднемесячная номинальная начисленная заработная плата выросла: в образовании – на </w:t>
      </w:r>
      <w:r>
        <w:rPr>
          <w:rFonts w:eastAsia="Calibri"/>
          <w:sz w:val="28"/>
          <w:szCs w:val="28"/>
        </w:rPr>
        <w:t xml:space="preserve">15,1</w:t>
      </w:r>
      <w:r>
        <w:rPr>
          <w:rFonts w:eastAsia="Calibri"/>
          <w:sz w:val="28"/>
          <w:szCs w:val="28"/>
        </w:rPr>
        <w:t xml:space="preserve">%, составив </w:t>
      </w:r>
      <w:r>
        <w:rPr>
          <w:rFonts w:eastAsia="Calibri"/>
          <w:sz w:val="28"/>
          <w:szCs w:val="28"/>
        </w:rPr>
        <w:t xml:space="preserve">53427,6</w:t>
      </w:r>
      <w:r>
        <w:rPr>
          <w:rFonts w:eastAsia="Calibri"/>
          <w:sz w:val="28"/>
          <w:szCs w:val="28"/>
        </w:rPr>
        <w:t xml:space="preserve"> рубл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 сфере культуры, спорта, организации досуга и развлечений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 xml:space="preserve">15,2</w:t>
      </w:r>
      <w:r>
        <w:rPr>
          <w:rFonts w:eastAsia="Calibri"/>
          <w:sz w:val="28"/>
          <w:szCs w:val="28"/>
        </w:rPr>
        <w:t xml:space="preserve">%, составив </w:t>
      </w:r>
      <w:r>
        <w:rPr>
          <w:rFonts w:eastAsia="Calibri"/>
          <w:sz w:val="28"/>
          <w:szCs w:val="28"/>
        </w:rPr>
        <w:t xml:space="preserve">57352,2</w:t>
      </w:r>
      <w:r>
        <w:rPr>
          <w:rFonts w:eastAsia="Calibri"/>
          <w:sz w:val="28"/>
          <w:szCs w:val="28"/>
        </w:rPr>
        <w:t xml:space="preserve"> рубля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сфере здравоохранения и социальных услуг – на </w:t>
      </w:r>
      <w:r>
        <w:rPr>
          <w:rFonts w:eastAsia="Calibri"/>
          <w:sz w:val="28"/>
          <w:szCs w:val="28"/>
        </w:rPr>
        <w:t xml:space="preserve">16,1</w:t>
      </w:r>
      <w:r>
        <w:rPr>
          <w:rFonts w:eastAsia="Calibri"/>
          <w:sz w:val="28"/>
          <w:szCs w:val="28"/>
        </w:rPr>
        <w:t xml:space="preserve">%, составив </w:t>
      </w:r>
      <w:r>
        <w:rPr>
          <w:rFonts w:eastAsia="Calibri"/>
          <w:sz w:val="28"/>
          <w:szCs w:val="28"/>
        </w:rPr>
        <w:t xml:space="preserve">56942,7</w:t>
      </w:r>
      <w:r>
        <w:rPr>
          <w:rFonts w:eastAsia="Calibri"/>
          <w:sz w:val="28"/>
          <w:szCs w:val="28"/>
        </w:rPr>
        <w:t xml:space="preserve"> рубл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</w:t>
      </w:r>
      <w:r>
        <w:rPr>
          <w:rFonts w:eastAsia="Calibri"/>
          <w:sz w:val="28"/>
          <w:szCs w:val="28"/>
        </w:rPr>
        <w:t xml:space="preserve">системной работы, направленной</w:t>
      </w:r>
      <w:r>
        <w:rPr>
          <w:sz w:val="28"/>
          <w:szCs w:val="28"/>
        </w:rPr>
        <w:t xml:space="preserve"> на ликвидацию задолженности по выплате заработной платы работникам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организациями-должниками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выплачено </w:t>
      </w:r>
      <w:r>
        <w:rPr>
          <w:sz w:val="28"/>
          <w:szCs w:val="28"/>
        </w:rPr>
        <w:t xml:space="preserve">177,6</w:t>
      </w:r>
      <w:r>
        <w:rPr>
          <w:sz w:val="28"/>
          <w:szCs w:val="28"/>
        </w:rPr>
        <w:t xml:space="preserve"> млн 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 задержанной заработной платы, ликвидированы долги по заработной плате в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, в том числе двух муниципальных организациях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Легализованы трудовые отношения с </w:t>
      </w:r>
      <w:r>
        <w:rPr>
          <w:sz w:val="28"/>
          <w:szCs w:val="28"/>
        </w:rPr>
        <w:t xml:space="preserve">9347</w:t>
      </w:r>
      <w:r>
        <w:rPr>
          <w:sz w:val="28"/>
          <w:szCs w:val="28"/>
        </w:rPr>
        <w:t xml:space="preserve"> работниками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2023 года специальная оценка условий труда проведена на 142,1 тыс. рабочих мест, из них 80% составляют рабочие места с оптимальными и допустимыми условиями труда, прошли обучение по охране труда 13,8 тыс. работников организаций, в том числе 3,2 тыс. руководителей.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Создание условий для роста благосостояния граждан, снижения бедности среди получателей мер поддержки, повышения доступности социального обслуживания населения достигалось посредством реализации мер социальной поддержки населения и развития социальной сферы.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Общая численность граждан, получивших социальные в</w:t>
      </w:r>
      <w:r>
        <w:rPr>
          <w:rFonts w:eastAsia="Calibri"/>
          <w:sz w:val="28"/>
          <w:szCs w:val="28"/>
        </w:rPr>
        <w:t xml:space="preserve">ыплаты, пособия и компенсации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 полугодии </w:t>
      </w:r>
      <w:r>
        <w:rPr>
          <w:rFonts w:eastAsia="Calibri"/>
          <w:sz w:val="28"/>
          <w:szCs w:val="28"/>
        </w:rPr>
        <w:t xml:space="preserve">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составила </w:t>
      </w:r>
      <w:r>
        <w:rPr>
          <w:rFonts w:eastAsia="Calibri"/>
          <w:sz w:val="28"/>
          <w:szCs w:val="28"/>
        </w:rPr>
        <w:t xml:space="preserve">более 850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тыс. человек. На предоставление мер социальной поддержки из федерального и областного бю</w:t>
      </w:r>
      <w:r>
        <w:rPr>
          <w:rFonts w:eastAsia="Calibri"/>
          <w:sz w:val="28"/>
          <w:szCs w:val="28"/>
        </w:rPr>
        <w:t xml:space="preserve">джетов направлено </w:t>
      </w:r>
      <w:r>
        <w:rPr>
          <w:rFonts w:eastAsia="Calibri"/>
          <w:sz w:val="28"/>
          <w:szCs w:val="28"/>
        </w:rPr>
        <w:t xml:space="preserve">10</w:t>
      </w:r>
      <w:r>
        <w:rPr>
          <w:rFonts w:eastAsia="Calibri"/>
          <w:sz w:val="28"/>
          <w:szCs w:val="28"/>
        </w:rPr>
        <w:t xml:space="preserve">,0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млрд рублей.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государственной программы «Развитие государственной молодежной политики Новосибирской области» в 1 полугодии 2023 года проведено более 100 мероприятий, целью которых являлось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региона.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Продолжалась работа по дальнейшему развитию коллективно-договорного регулирования </w:t>
      </w:r>
      <w:r>
        <w:rPr>
          <w:rFonts w:eastAsia="Calibri"/>
          <w:sz w:val="28"/>
          <w:szCs w:val="28"/>
        </w:rPr>
        <w:t xml:space="preserve">трудовых отношений </w:t>
      </w:r>
      <w:r>
        <w:rPr>
          <w:rFonts w:eastAsia="Calibri"/>
          <w:sz w:val="28"/>
          <w:szCs w:val="28"/>
        </w:rPr>
        <w:t xml:space="preserve">на территории Новосибирской области. В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полугодии </w:t>
      </w:r>
      <w:r>
        <w:rPr>
          <w:rFonts w:eastAsia="Calibri"/>
          <w:sz w:val="28"/>
          <w:szCs w:val="28"/>
        </w:rPr>
        <w:t xml:space="preserve">202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действовал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11</w:t>
      </w:r>
      <w:r>
        <w:rPr>
          <w:rFonts w:eastAsia="Calibri"/>
          <w:sz w:val="28"/>
          <w:szCs w:val="28"/>
        </w:rPr>
        <w:t xml:space="preserve"> региональных отраслевых соглашений, 3</w:t>
      </w:r>
      <w:r>
        <w:rPr>
          <w:rFonts w:eastAsia="Calibri"/>
          <w:sz w:val="28"/>
          <w:szCs w:val="28"/>
        </w:rPr>
        <w:t xml:space="preserve">4</w:t>
      </w:r>
      <w:r>
        <w:rPr>
          <w:rFonts w:eastAsia="Calibri"/>
          <w:sz w:val="28"/>
          <w:szCs w:val="28"/>
        </w:rPr>
        <w:t xml:space="preserve"> территориальных соглашений, 9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территориальных отраслевых соглашений, 52</w:t>
      </w:r>
      <w:r>
        <w:rPr>
          <w:rFonts w:eastAsia="Calibri"/>
          <w:sz w:val="28"/>
          <w:szCs w:val="28"/>
        </w:rPr>
        <w:t xml:space="preserve">16</w:t>
      </w:r>
      <w:r>
        <w:rPr>
          <w:rFonts w:eastAsia="Calibri"/>
          <w:sz w:val="28"/>
          <w:szCs w:val="28"/>
        </w:rPr>
        <w:t xml:space="preserve"> зарегистрированных коллективных договор</w:t>
      </w:r>
      <w:r>
        <w:rPr>
          <w:rFonts w:eastAsia="Calibri"/>
          <w:sz w:val="28"/>
          <w:szCs w:val="28"/>
        </w:rPr>
        <w:t xml:space="preserve">ов</w:t>
      </w:r>
      <w:r>
        <w:rPr>
          <w:rFonts w:eastAsia="Calibri"/>
          <w:sz w:val="28"/>
          <w:szCs w:val="28"/>
        </w:rPr>
        <w:t xml:space="preserve">. Коллективно-договорными отношениями были охвачены 8</w:t>
      </w:r>
      <w:r>
        <w:rPr>
          <w:rFonts w:eastAsia="Calibri"/>
          <w:sz w:val="28"/>
          <w:szCs w:val="28"/>
        </w:rPr>
        <w:t xml:space="preserve">3%</w:t>
      </w:r>
      <w:r>
        <w:rPr>
          <w:rFonts w:eastAsia="Calibri"/>
          <w:sz w:val="28"/>
          <w:szCs w:val="28"/>
        </w:rPr>
        <w:t xml:space="preserve"> работников крупных и средних организаций </w:t>
      </w:r>
      <w:r>
        <w:rPr>
          <w:rFonts w:eastAsia="Calibri"/>
          <w:sz w:val="28"/>
          <w:szCs w:val="28"/>
        </w:rPr>
        <w:t xml:space="preserve">Новосибирской </w:t>
      </w:r>
      <w:r>
        <w:rPr>
          <w:rFonts w:eastAsia="Calibri"/>
          <w:sz w:val="28"/>
          <w:szCs w:val="28"/>
        </w:rPr>
        <w:t xml:space="preserve">области. Органами по труду </w:t>
      </w:r>
      <w:r>
        <w:rPr>
          <w:rFonts w:eastAsia="Calibri"/>
          <w:sz w:val="28"/>
          <w:szCs w:val="28"/>
        </w:rPr>
        <w:t xml:space="preserve">администраций </w:t>
      </w:r>
      <w:r>
        <w:rPr>
          <w:rFonts w:eastAsia="Calibri"/>
          <w:sz w:val="28"/>
          <w:szCs w:val="28"/>
        </w:rPr>
        <w:t xml:space="preserve">муниципальных районов и городских округов Новосибирской области осуществлен контроль за выполнением </w:t>
      </w:r>
      <w:r>
        <w:rPr>
          <w:rFonts w:eastAsia="Calibri"/>
          <w:sz w:val="28"/>
          <w:szCs w:val="28"/>
        </w:rPr>
        <w:t xml:space="preserve">более </w:t>
      </w:r>
      <w:r>
        <w:rPr>
          <w:rFonts w:eastAsia="Calibri"/>
          <w:sz w:val="28"/>
          <w:szCs w:val="28"/>
        </w:rPr>
        <w:t xml:space="preserve">150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коллективных договоров и соглашений, оказана методическая и практическая помощь по их заключению. 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Информацию о выполнении в </w:t>
      </w:r>
      <w:r>
        <w:rPr>
          <w:sz w:val="28"/>
          <w:szCs w:val="28"/>
        </w:rPr>
        <w:t xml:space="preserve">1 полугодии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 принять к сведению.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Сторонам социального партнерства продолжить выполнение взятых обязательств Регионального соглашения.</w:t>
      </w:r>
    </w:p>
    <w:p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928"/>
      </w:tblGrid>
      <w:t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</w:p>
          <w:p>
            <w:pPr>
              <w:pStyle w:val="Normal"/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</w:t>
            </w:r>
            <w:r>
              <w:rPr>
                <w:sz w:val="28"/>
                <w:szCs w:val="28"/>
                <w:lang w:eastAsia="en-US"/>
              </w:rPr>
              <w:t xml:space="preserve">ый</w:t>
            </w:r>
            <w:r>
              <w:rPr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sz w:val="28"/>
                <w:szCs w:val="28"/>
                <w:lang w:eastAsia="en-US"/>
              </w:rPr>
              <w:t xml:space="preserve">ь</w:t>
            </w:r>
            <w:r>
              <w:rPr>
                <w:sz w:val="28"/>
                <w:szCs w:val="28"/>
                <w:lang w:eastAsia="en-US"/>
              </w:rPr>
              <w:t xml:space="preserve"> Председателя</w:t>
            </w:r>
          </w:p>
          <w:p>
            <w:pPr>
              <w:pStyle w:val="Normal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keepNext/>
        <w:widowControl w:val="off"/>
        <w:tabs>
          <w:tab w:val="left" w:pos="0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/>
        <w:widowControl w:val="off"/>
        <w:tabs>
          <w:tab w:val="left" w:pos="0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/>
        <w:widowControl w:val="off"/>
        <w:tabs>
          <w:tab w:val="left" w:pos="0" w:leader="none"/>
        </w:tabs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6"/>
      <w:type w:val="nextPage"/>
      <w:pgSz w:w="11906" w:h="16838"/>
      <w:pgMar w:top="1134" w:right="567" w:bottom="993" w:left="1418" w:header="425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0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BodyTextIndent2">
    <w:name w:val="Основной текст с отступом 2"/>
    <w:basedOn w:val="Normal"/>
    <w:next w:val="BodyTextIndent2"/>
    <w:link w:val="UserStyle_1"/>
    <w:pPr>
      <w:ind w:firstLine="709"/>
      <w:jc w:val="both"/>
    </w:pPr>
    <w:rPr>
      <w:sz w:val="28"/>
      <w:szCs w:val="20"/>
    </w:rPr>
  </w:style>
  <w:style w:type="character" w:styleId="UserStyle_1">
    <w:name w:val="Основной текст с отступом 2 Знак"/>
    <w:next w:val="UserStyle_1"/>
    <w:link w:val="BodyTextIndent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2">
    <w:name w:val="Верхний колонтитул Знак"/>
    <w:next w:val="UserStyle_2"/>
    <w:link w:val="Head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er">
    <w:name w:val="Нижний колонтитул"/>
    <w:basedOn w:val="Normal"/>
    <w:next w:val="Foot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Нижний колонтитул Знак"/>
    <w:next w:val="UserStyle_3"/>
    <w:link w:val="Foot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39"/>
    <w:pPr>
      <w:spacing w:after="0" w:line="240" w:lineRule="auto"/>
    </w:pPr>
  </w:style>
  <w:style w:type="paragraph" w:styleId="BodyTextIndent3">
    <w:name w:val="Основной текст с отступом 3"/>
    <w:basedOn w:val="Normal"/>
    <w:next w:val="BodyTextIndent3"/>
    <w:link w:val="UserStyle_4"/>
    <w:uiPriority w:val="99"/>
    <w:unhideWhenUsed/>
    <w:pPr>
      <w:spacing w:after="120"/>
      <w:ind w:left="283"/>
    </w:pPr>
    <w:rPr>
      <w:sz w:val="16"/>
      <w:szCs w:val="16"/>
    </w:rPr>
  </w:style>
  <w:style w:type="character" w:styleId="UserStyle_4">
    <w:name w:val="Основной текст с отступом 3 Знак"/>
    <w:next w:val="UserStyle_4"/>
    <w:link w:val="BodyTextIndent3"/>
    <w:uiPriority w:val="99"/>
    <w:rPr>
      <w:rFonts w:ascii="Times New Roman" w:hAnsi="Times New Roman" w:eastAsia="Times New Roman"/>
      <w:sz w:val="16"/>
      <w:szCs w:val="16"/>
    </w:rPr>
  </w:style>
  <w:style w:type="paragraph" w:styleId="BodyText">
    <w:name w:val="Основной текст"/>
    <w:basedOn w:val="Normal"/>
    <w:next w:val="BodyText"/>
    <w:link w:val="UserStyle_5"/>
    <w:uiPriority w:val="99"/>
    <w:unhideWhenUsed/>
    <w:pPr>
      <w:spacing w:after="120"/>
    </w:pPr>
    <w:rPr>
      <w:sz w:val="20"/>
      <w:szCs w:val="20"/>
    </w:rPr>
  </w:style>
  <w:style w:type="character" w:styleId="UserStyle_5">
    <w:name w:val="Основной текст Знак"/>
    <w:next w:val="UserStyle_5"/>
    <w:link w:val="BodyText"/>
    <w:uiPriority w:val="99"/>
    <w:rPr>
      <w:rFonts w:ascii="Times New Roman" w:hAnsi="Times New Roman" w:eastAsia="Times New Roman"/>
    </w:rPr>
  </w:style>
  <w:style w:type="paragraph" w:styleId="UserStyle_6">
    <w:name w:val="ConsNormal"/>
    <w:next w:val="UserStyle_6"/>
    <w:link w:val="Normal"/>
    <w:pPr>
      <w:widowControl w:val="off"/>
      <w:ind w:firstLine="720"/>
    </w:pPr>
    <w:rPr>
      <w:rFonts w:ascii="Arial" w:hAnsi="Arial" w:eastAsia="Times New Roman"/>
      <w:snapToGrid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5714</Characters>
  <CharactersWithSpaces>6703</CharactersWithSpaces>
  <Company>минтруд Новосибирской области</Company>
  <DocSecurity>0</DocSecurity>
  <HyperlinksChanged>false</HyperlinksChanged>
  <Lines>47</Lines>
  <Pages>3</Pages>
  <Paragraphs>13</Paragraphs>
  <ScaleCrop>false</ScaleCrop>
  <SharedDoc>false</SharedDoc>
  <Template>Normal</Template>
  <Words>1002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lastModifiedBy>Петухова Светлана Анатольевна</cp:lastModifiedBy>
  <cp:revision>15</cp:revision>
  <dcterms:created xsi:type="dcterms:W3CDTF">2023-10-02T07:36:00Z</dcterms:created>
  <dcterms:modified xsi:type="dcterms:W3CDTF">2023-10-26T07:27:00Z</dcterms:modified>
  <cp:version>917504</cp:version>
</cp:coreProperties>
</file>