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</w:p>
    <w:p>
      <w:pPr>
        <w:pStyle w:val="24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c>
          <w:tcPr>
            <w:tcW w:w="3379" w:type="dxa"/>
            <w:shd w:val="clear" w:color="auto" w:fill="auto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25.10.2023</w:t>
            </w:r>
          </w:p>
        </w:tc>
        <w:tc>
          <w:tcPr>
            <w:tcW w:w="3379" w:type="dxa"/>
            <w:shd w:val="clear" w:color="auto" w:fill="auto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</w:p>
        </w:tc>
        <w:tc>
          <w:tcPr>
            <w:tcW w:w="3379" w:type="dxa"/>
            <w:shd w:val="clear" w:color="auto" w:fill="auto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3</w:t>
            </w:r>
          </w:p>
        </w:tc>
      </w:tr>
    </w:tbl>
    <w:p>
      <w:pPr>
        <w:pStyle w:val="24"/>
        <w:jc w:val="left"/>
        <w:rPr>
          <w:szCs w:val="28"/>
        </w:rPr>
      </w:pPr>
      <w:bookmarkStart w:id="0" w:name="_GoBack"/>
      <w:bookmarkEnd w:id="0"/>
    </w:p>
    <w:p>
      <w:pPr>
        <w:jc w:val="both"/>
        <w:rPr>
          <w:sz w:val="28"/>
        </w:rPr>
      </w:pPr>
      <w:r>
        <w:rPr>
          <w:sz w:val="28"/>
        </w:rPr>
        <w:t xml:space="preserve">О содействии занятости инвалидов </w:t>
      </w:r>
    </w:p>
    <w:p>
      <w:pPr>
        <w:jc w:val="both"/>
        <w:rPr>
          <w:sz w:val="28"/>
        </w:rPr>
      </w:pPr>
      <w:r>
        <w:rPr>
          <w:sz w:val="28"/>
        </w:rPr>
        <w:t xml:space="preserve">в Новосибирской области</w:t>
      </w:r>
    </w:p>
    <w:p>
      <w:pPr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Рассмотрев информацию о содействии занятости инвалидов в Новосибирской области, Комиссия отмечает эффективность реализуемых мероприятий в сфере содействия занятости инвалидов, направленных на повышение уровня трудоустройства граждан с инвалидностью, привлечения инвалидов на свободный рынок труда. </w:t>
      </w:r>
    </w:p>
    <w:p>
      <w:pPr>
        <w:ind w:firstLine="720"/>
        <w:jc w:val="both"/>
      </w:pPr>
      <w:r>
        <w:rPr>
          <w:sz w:val="28"/>
          <w:szCs w:val="28"/>
        </w:rPr>
        <w:t xml:space="preserve">В 2023 году за предоставлением государственной услуги содействия в поиске подходящей работы в государственные учреждения занятости населения обратилось 2258 инвалидов</w:t>
      </w:r>
      <w:r>
        <w:t xml:space="preserve">, </w:t>
      </w:r>
      <w:r>
        <w:rPr>
          <w:spacing w:val="-4"/>
          <w:sz w:val="28"/>
          <w:szCs w:val="28"/>
        </w:rPr>
        <w:t xml:space="preserve">трудоустроено 1671 человек (74% и</w:t>
      </w:r>
      <w:r>
        <w:rPr>
          <w:sz w:val="28"/>
          <w:szCs w:val="28"/>
        </w:rPr>
        <w:t xml:space="preserve">з числа </w:t>
      </w:r>
      <w:r>
        <w:rPr>
          <w:spacing w:val="-4"/>
          <w:sz w:val="28"/>
          <w:szCs w:val="28"/>
        </w:rPr>
        <w:t xml:space="preserve">обратившихся). </w:t>
      </w:r>
    </w:p>
    <w:p>
      <w:pPr>
        <w:ind w:firstLine="720"/>
        <w:jc w:val="both"/>
      </w:pPr>
      <w:r>
        <w:rPr>
          <w:spacing w:val="-4"/>
          <w:sz w:val="28"/>
          <w:szCs w:val="28"/>
        </w:rPr>
        <w:t xml:space="preserve">Государственной программой Новосибирской области «Содействие занятости населения» предусмотрены </w:t>
      </w:r>
      <w:r>
        <w:rPr>
          <w:sz w:val="28"/>
          <w:szCs w:val="28"/>
        </w:rPr>
        <w:t xml:space="preserve">меры государственной поддержки работодателей при трудоустройстве инвалидов. </w:t>
      </w:r>
      <w:r>
        <w:rPr>
          <w:spacing w:val="-4"/>
          <w:sz w:val="28"/>
          <w:szCs w:val="28"/>
        </w:rPr>
        <w:t xml:space="preserve">Работодателям предоставляются субсидии </w:t>
      </w:r>
      <w:r>
        <w:rPr>
          <w:sz w:val="28"/>
          <w:szCs w:val="28"/>
        </w:rPr>
        <w:t xml:space="preserve">на возмещение расходов на заработную плату инвалидов в размере минимальной оплаты труда, увеличенной на районный коэффициент, страховые взносы и расходов на заработную плату наставников (из расчета половины минимального размера оплаты труда). </w:t>
      </w:r>
    </w:p>
    <w:p>
      <w:pPr>
        <w:ind w:firstLine="709"/>
        <w:jc w:val="both"/>
      </w:pPr>
      <w:r>
        <w:rPr>
          <w:sz w:val="28"/>
          <w:szCs w:val="28"/>
        </w:rPr>
        <w:t xml:space="preserve">Субсидии предоставляются в целях:</w:t>
      </w:r>
    </w:p>
    <w:p>
      <w:pPr>
        <w:ind w:firstLine="709"/>
        <w:jc w:val="both"/>
      </w:pPr>
      <w:r>
        <w:rPr>
          <w:sz w:val="28"/>
          <w:szCs w:val="28"/>
        </w:rPr>
        <w:t xml:space="preserve">1. Оказания услуг сопровождения инвалидов, в том числе инвалидов молодого возраста, при трудоустройстве. По результатам отбора принято решение о предоставлении субсидии из областного бюджета Новосибирской области одной организации на сумму 200 тыс. рублей, на трудоустройство 10 инвалидов, в том числе инвалидов молодого возраста. С 2021 года Новосибирская область является пилотным регионом </w:t>
      </w:r>
      <w:r>
        <w:rPr>
          <w:color w:val="000000"/>
          <w:sz w:val="28"/>
          <w:szCs w:val="28"/>
          <w:shd w:val="clear" w:color="auto" w:fill="ffffff"/>
        </w:rPr>
        <w:t xml:space="preserve">по апробации механизмов организации </w:t>
      </w:r>
      <w:r>
        <w:rPr>
          <w:sz w:val="28"/>
          <w:szCs w:val="28"/>
        </w:rPr>
        <w:t xml:space="preserve">государственной услуги сопровождения при содействии занятости инвалидов</w:t>
      </w:r>
      <w:r>
        <w:rPr>
          <w:color w:val="000000"/>
          <w:sz w:val="28"/>
          <w:szCs w:val="28"/>
          <w:shd w:val="clear" w:color="auto" w:fill="ffffff"/>
        </w:rPr>
        <w:t xml:space="preserve"> через социальный заказ в соответствии с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13.07.2020 № 189-ФЗ «О 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 xml:space="preserve">.</w:t>
      </w:r>
    </w:p>
    <w:p>
      <w:pPr>
        <w:pStyle w:val="1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рамках оказания государственной услуги в соответствии с соглашением некоммерческие организации оказывают индивидуальную помощь незанятому инвалиду при его трудоустройстве, принимают меры по созданию условий для осуществления им трудовой деятельности и ускорения его профессиональной адаптации на рабочем месте, а также по формированию пути его передвижения до места работы и обратно и по территории работодателя.</w:t>
      </w:r>
      <w:r>
        <w:rPr>
          <w:rFonts w:ascii="Times New Roman" w:hAnsi="Times New Roman"/>
          <w:sz w:val="28"/>
          <w:szCs w:val="28"/>
        </w:rPr>
        <w:t xml:space="preserve"> Результатом оказания государственной услуги является трудоустройство инвалида.</w:t>
      </w:r>
    </w:p>
    <w:p>
      <w:pPr>
        <w:ind w:firstLine="709"/>
        <w:jc w:val="both"/>
      </w:pPr>
      <w:r>
        <w:rPr>
          <w:sz w:val="28"/>
          <w:szCs w:val="28"/>
        </w:rPr>
        <w:t xml:space="preserve">В 2023 году государственную услугу по сопровождению при содействии некоммерческих организаций смогут получить 40 инвалидов. На оплату социальных сертификатов в 2023 году будет направлено 840 тыс. рублей. По состоянию на 01.10.2023 трудоустроено 15 граждан с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группой инвалидности. На указанные цели израсходовано 300 тыс. рублей.</w:t>
      </w:r>
    </w:p>
    <w:p>
      <w:pPr>
        <w:ind w:firstLine="709"/>
        <w:jc w:val="both"/>
      </w:pPr>
      <w:r>
        <w:rPr>
          <w:sz w:val="28"/>
          <w:szCs w:val="28"/>
        </w:rPr>
        <w:t xml:space="preserve">2. Организации социальной занятости инвалидов со 2-й и 3-й степенью ограничения способности к трудовой деятельности, в том числе инвалидов молодого возраста. По результатам отбора принято решение о предоставлении субсидий из областного бюджета Новосибирской области 6 организациям на сумму 2,9 </w:t>
      </w:r>
      <w:r>
        <w:rPr>
          <w:sz w:val="28"/>
          <w:szCs w:val="28"/>
        </w:rPr>
        <w:t xml:space="preserve">млн</w:t>
      </w:r>
      <w:r>
        <w:rPr>
          <w:sz w:val="28"/>
          <w:szCs w:val="28"/>
        </w:rPr>
        <w:t xml:space="preserve"> рублей на организацию социальной занятости 19 инвалидов, в том числе инвалидов молодого возраста.</w:t>
      </w:r>
    </w:p>
    <w:p>
      <w:pPr>
        <w:ind w:firstLine="709"/>
        <w:jc w:val="both"/>
      </w:pPr>
      <w:r>
        <w:rPr>
          <w:sz w:val="28"/>
          <w:szCs w:val="28"/>
        </w:rPr>
        <w:t xml:space="preserve">3. Сохранения рабочих мест для инвалидов, в том числе инвалидов молодого возраста. По результатам отбора принято решение о предоставлении субсидий из областного бюджета Новосибирской области 8 организациям на сумму 13,8 </w:t>
      </w:r>
      <w:r>
        <w:rPr>
          <w:sz w:val="28"/>
          <w:szCs w:val="28"/>
        </w:rPr>
        <w:t xml:space="preserve">млн</w:t>
      </w:r>
      <w:r>
        <w:rPr>
          <w:sz w:val="28"/>
          <w:szCs w:val="28"/>
        </w:rPr>
        <w:t xml:space="preserve"> рублей для сохранения 44 рабочих мест для инвалидов, в том числе инвалидов молодого возраста.</w:t>
      </w:r>
    </w:p>
    <w:p>
      <w:pPr>
        <w:ind w:firstLine="709"/>
        <w:jc w:val="both"/>
      </w:pPr>
      <w:r>
        <w:rPr>
          <w:sz w:val="28"/>
          <w:szCs w:val="28"/>
        </w:rPr>
        <w:t xml:space="preserve">4. Реализации пилотного проекта по сопровождению трудоустройства инвалидов с ментальными расстройствами, в том числе инвалидов молодого возраста. По результатам отбора принято решение о предоставлении субсидий из областного бюджета Новосибирской области одной организации на сумму 353,1 тыс. рублей на трудоустройство 2 инвалидов.</w:t>
      </w:r>
      <w:r>
        <w:rPr>
          <w:color w:val="000000"/>
          <w:sz w:val="28"/>
          <w:szCs w:val="28"/>
        </w:rPr>
        <w:t xml:space="preserve"> </w:t>
      </w:r>
    </w:p>
    <w:p>
      <w:pPr>
        <w:ind w:firstLine="709"/>
        <w:jc w:val="both"/>
      </w:pPr>
      <w:r>
        <w:rPr>
          <w:sz w:val="28"/>
          <w:szCs w:val="28"/>
        </w:rPr>
        <w:t xml:space="preserve">Всего на реализацию вышеуказанных мероприятий в 2023 году работодателям предоставлены субсидии на общую сумму 23,1 </w:t>
      </w:r>
      <w:r>
        <w:rPr>
          <w:sz w:val="28"/>
          <w:szCs w:val="28"/>
        </w:rPr>
        <w:t xml:space="preserve">млн</w:t>
      </w:r>
      <w:r>
        <w:rPr>
          <w:sz w:val="28"/>
          <w:szCs w:val="28"/>
        </w:rPr>
        <w:t xml:space="preserve"> рублей, с использованием которых организуется трудоустройство 129 граждан.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В 2023 году участниками проекта «Успешный старт», направленного на организацию временного трудоустройства молодых инвалидов, прежде всего, выпускников профессиональных образовательных организаций и образовательных организаций высшего образования, стали 153 инвалида молодого возраста. </w:t>
      </w:r>
      <w:r>
        <w:rPr>
          <w:sz w:val="28"/>
          <w:szCs w:val="28"/>
          <w:shd w:val="clear" w:color="auto" w:fill="ffffff"/>
        </w:rPr>
        <w:t xml:space="preserve">В период временного трудоустройства инвалидам оказывается материальная поддержка в размере шестикратной минимальной величины пособия по безработице, увеличенной на размер районного коэффициента.</w:t>
      </w:r>
    </w:p>
    <w:p>
      <w:pPr>
        <w:ind w:firstLine="720"/>
        <w:jc w:val="both"/>
      </w:pPr>
      <w:r>
        <w:rPr>
          <w:sz w:val="28"/>
          <w:szCs w:val="28"/>
        </w:rPr>
        <w:t xml:space="preserve">Также в 2023 году по направлению центров занятости населения организовано профессиональное обучение 67 граждан с инвалидностью. На временные работы для граждан, испытывающих трудности в поиске работы, в 2023 году направлено 387 инвалидов. </w:t>
      </w:r>
      <w:r>
        <w:rPr>
          <w:sz w:val="28"/>
          <w:szCs w:val="28"/>
          <w:shd w:val="clear" w:color="auto" w:fill="ffffff"/>
        </w:rPr>
        <w:t xml:space="preserve">В период временного трудоустройства гражданам может оказываться материальная поддержка за счет средств областного бюджета сверх размера оплаты труда, предусмотренного срочными трудовыми договорами (7200 рублей в месяц).</w:t>
      </w:r>
    </w:p>
    <w:p>
      <w:pPr>
        <w:ind w:firstLine="720"/>
        <w:jc w:val="both"/>
      </w:pPr>
      <w:r>
        <w:rPr>
          <w:sz w:val="28"/>
          <w:szCs w:val="28"/>
        </w:rPr>
        <w:t xml:space="preserve">В рамках содействия началу осуществления предпринимательской деятельности безработных граждан единовременную финансовую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в 2023 году получили 8 инвалидов. </w:t>
      </w:r>
    </w:p>
    <w:p>
      <w:pPr>
        <w:ind w:firstLine="720"/>
        <w:jc w:val="both"/>
      </w:pPr>
      <w:r>
        <w:rPr>
          <w:sz w:val="28"/>
          <w:szCs w:val="28"/>
        </w:rPr>
        <w:t xml:space="preserve">Социальные контракты на открытие своего бизнеса заключены с 22 инвалидами (до 350 тыс. рублей).</w:t>
      </w:r>
    </w:p>
    <w:p>
      <w:pPr>
        <w:widowControl w:val="off"/>
        <w:ind w:firstLine="709"/>
        <w:jc w:val="both"/>
      </w:pPr>
      <w:r>
        <w:rPr>
          <w:sz w:val="28"/>
        </w:rPr>
        <w:t xml:space="preserve">Вместе с тем в целях </w:t>
      </w:r>
      <w:r>
        <w:rPr>
          <w:sz w:val="28"/>
          <w:szCs w:val="28"/>
        </w:rPr>
        <w:t xml:space="preserve">привлечения работодателей Новосибирской области к решению социальной задачи по трудоустройству инвалидов</w:t>
      </w:r>
      <w:r>
        <w:rPr>
          <w:sz w:val="28"/>
        </w:rPr>
        <w:t xml:space="preserve"> необходимо усиление информационно-разъяснительной работы среди работодателей Новосибирской области о социальной значимости выполнении квоты для трудоустройства инвалидов.</w:t>
      </w:r>
      <w:r>
        <w:t xml:space="preserve">  </w:t>
      </w:r>
      <w:r>
        <w:rPr>
          <w:sz w:val="28"/>
          <w:szCs w:val="28"/>
        </w:rPr>
        <w:t xml:space="preserve">Необходимо продолжать реализацию мероприятий по профессиональной ориентации и обучению граждан с инвалидностью, </w:t>
      </w:r>
      <w:r>
        <w:rPr>
          <w:sz w:val="28"/>
          <w:szCs w:val="28"/>
        </w:rPr>
        <w:t xml:space="preserve">формировать и развивать</w:t>
      </w:r>
      <w:r>
        <w:rPr>
          <w:sz w:val="28"/>
          <w:szCs w:val="28"/>
        </w:rPr>
        <w:t xml:space="preserve"> системы поощрения социально ответственных работодателей, внедряющих практики инклюзивного найма.</w:t>
      </w:r>
    </w:p>
    <w:p>
      <w:pPr>
        <w:pStyle w:val="afa"/>
        <w:ind w:firstLine="709"/>
      </w:pPr>
      <w:r>
        <w:t xml:space="preserve">Исходя из </w:t>
      </w:r>
      <w:r>
        <w:t xml:space="preserve">вышеизложенного</w:t>
      </w:r>
      <w:r>
        <w:t xml:space="preserve"> Комиссия решила: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информацию по вопросу «О содействии занятости инвалидов в Новосибирской области» к сведению.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Рекомендовать областным объединениям </w:t>
      </w:r>
      <w:r>
        <w:rPr>
          <w:sz w:val="28"/>
          <w:szCs w:val="28"/>
        </w:rPr>
        <w:t xml:space="preserve">работодателей принять меры по исполнению работодателями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квоты для трудоустройства инвалидов.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Рекомендовать Новосибирскому областному союзу организаций профсоюзов «Федерация профсоюзов Новосибирской области» и ее членским организациям продолжить общественный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соблюдением законодательства в сфере занятости населения.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Координаторам территориальных трехсторонних комиссий по регулированию социально-трудовых отношений рассмотреть вопрос содействия занятости инвалидов на заседаниях с участием руководителей государственных учреждений занятости населения.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Рекомендовать министерству труда и социального развития Новосибирской области продолжать осуществлять мониторинг работодателей Новосибирской области </w:t>
      </w:r>
      <w:r>
        <w:rPr>
          <w:spacing w:val="-4"/>
          <w:sz w:val="28"/>
          <w:szCs w:val="28"/>
        </w:rPr>
        <w:t xml:space="preserve">с численностью работников свыше 100 человек,</w:t>
      </w:r>
      <w:r>
        <w:rPr>
          <w:sz w:val="28"/>
          <w:szCs w:val="28"/>
        </w:rPr>
        <w:t xml:space="preserve"> не исполняющих квоту для трудоустройства инвалидов, в соответствии </w:t>
      </w:r>
      <w:r>
        <w:rPr>
          <w:spacing w:val="-4"/>
          <w:sz w:val="28"/>
          <w:szCs w:val="28"/>
        </w:rPr>
        <w:t xml:space="preserve">с решением заседания Межведомственной рабочей группы по вопросу восстановления рынка труда от 06.07.2023 № 22.</w:t>
      </w:r>
    </w:p>
    <w:p>
      <w:pPr>
        <w:pStyle w:val="afa"/>
        <w:rPr>
          <w:szCs w:val="28"/>
        </w:rPr>
      </w:pPr>
    </w:p>
    <w:p>
      <w:pPr>
        <w:pStyle w:val="afa"/>
        <w:rPr>
          <w:szCs w:val="28"/>
        </w:rPr>
      </w:pPr>
    </w:p>
    <w:p>
      <w:pPr>
        <w:pStyle w:val="afa"/>
        <w:rPr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c>
          <w:tcPr>
            <w:tcW w:w="5103" w:type="dxa"/>
            <w:shd w:val="clear" w:color="auto" w:fill="auto"/>
          </w:tcPr>
          <w:p>
            <w:pPr>
              <w:keepNext/>
              <w:widowControl w:val="o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</w:p>
          <w:p>
            <w:pPr>
              <w:keepNext/>
              <w:widowControl w:val="off"/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</w:t>
            </w:r>
            <w:r>
              <w:rPr>
                <w:sz w:val="28"/>
                <w:szCs w:val="28"/>
                <w:lang w:eastAsia="en-US"/>
              </w:rPr>
              <w:t xml:space="preserve">ый</w:t>
            </w:r>
            <w:r>
              <w:rPr>
                <w:sz w:val="28"/>
                <w:szCs w:val="28"/>
                <w:lang w:eastAsia="en-US"/>
              </w:rPr>
              <w:t xml:space="preserve"> заместител</w:t>
            </w:r>
            <w:r>
              <w:rPr>
                <w:sz w:val="28"/>
                <w:szCs w:val="28"/>
                <w:lang w:eastAsia="en-US"/>
              </w:rPr>
              <w:t xml:space="preserve">ь</w:t>
            </w:r>
            <w:r>
              <w:rPr>
                <w:sz w:val="28"/>
                <w:szCs w:val="28"/>
                <w:lang w:eastAsia="en-US"/>
              </w:rPr>
              <w:t xml:space="preserve"> Председателя</w:t>
            </w:r>
          </w:p>
          <w:p>
            <w:pPr>
              <w:keepNext/>
              <w:widowControl w:val="o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</w:p>
        </w:tc>
        <w:tc>
          <w:tcPr>
            <w:tcW w:w="4928" w:type="dxa"/>
            <w:shd w:val="clear" w:color="auto" w:fill="auto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afa"/>
        <w:rPr>
          <w:szCs w:val="28"/>
        </w:rPr>
      </w:pPr>
    </w:p>
    <w:sectPr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 xml:space="preserve">3</w:t>
    </w:r>
    <w:r>
      <w:rPr>
        <w:rStyle w:val="afc"/>
      </w:rPr>
      <w:fldChar w:fldCharType="end"/>
    </w: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86EB28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C0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BA9C64C6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6E8C793A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4880B8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9C40EE1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675C9E0C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B4A82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D27A0EA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 w:tplc="D3423106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 w:tplc="1B004E8E">
      <w:start w:val="1"/>
      <w:numFmt w:val="lowerLetter"/>
      <w:lvlText w:val="%2."/>
      <w:lvlJc w:val="left"/>
      <w:pPr>
        <w:ind w:left="1789" w:hanging="360"/>
      </w:pPr>
    </w:lvl>
    <w:lvl w:ilvl="2" w:tplc="01D0F984">
      <w:start w:val="1"/>
      <w:numFmt w:val="lowerRoman"/>
      <w:lvlText w:val="%3."/>
      <w:lvlJc w:val="right"/>
      <w:pPr>
        <w:ind w:left="2509" w:hanging="180"/>
      </w:pPr>
    </w:lvl>
    <w:lvl w:ilvl="3" w:tplc="F0ACA86C">
      <w:start w:val="1"/>
      <w:numFmt w:val="decimal"/>
      <w:lvlText w:val="%4."/>
      <w:lvlJc w:val="left"/>
      <w:pPr>
        <w:ind w:left="3229" w:hanging="360"/>
      </w:pPr>
    </w:lvl>
    <w:lvl w:ilvl="4" w:tplc="B7A019B6">
      <w:start w:val="1"/>
      <w:numFmt w:val="lowerLetter"/>
      <w:lvlText w:val="%5."/>
      <w:lvlJc w:val="left"/>
      <w:pPr>
        <w:ind w:left="3949" w:hanging="360"/>
      </w:pPr>
    </w:lvl>
    <w:lvl w:ilvl="5" w:tplc="AEFA4616">
      <w:start w:val="1"/>
      <w:numFmt w:val="lowerRoman"/>
      <w:lvlText w:val="%6."/>
      <w:lvlJc w:val="right"/>
      <w:pPr>
        <w:ind w:left="4669" w:hanging="180"/>
      </w:pPr>
    </w:lvl>
    <w:lvl w:ilvl="6" w:tplc="1B82B63A">
      <w:start w:val="1"/>
      <w:numFmt w:val="decimal"/>
      <w:lvlText w:val="%7."/>
      <w:lvlJc w:val="left"/>
      <w:pPr>
        <w:ind w:left="5389" w:hanging="360"/>
      </w:pPr>
    </w:lvl>
    <w:lvl w:ilvl="7" w:tplc="687828AC">
      <w:start w:val="1"/>
      <w:numFmt w:val="lowerLetter"/>
      <w:lvlText w:val="%8."/>
      <w:lvlJc w:val="left"/>
      <w:pPr>
        <w:ind w:left="6109" w:hanging="360"/>
      </w:pPr>
    </w:lvl>
    <w:lvl w:ilvl="8" w:tplc="DD3ABCD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C966F32A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37366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8FDA25A8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E88623B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6A362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45426756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D68E8B34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DA28B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6DCCCC6A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 w:tplc="53AA320E">
      <w:start w:val="1"/>
      <w:numFmt w:val="decimal"/>
      <w:lvlText w:val="%1)"/>
      <w:lvlJc w:val="left"/>
      <w:pPr>
        <w:ind w:left="1070" w:hanging="360"/>
      </w:pPr>
    </w:lvl>
    <w:lvl w:ilvl="1" w:tplc="A3AA32BA">
      <w:start w:val="1"/>
      <w:numFmt w:val="lowerLetter"/>
      <w:lvlText w:val="%2."/>
      <w:lvlJc w:val="left"/>
      <w:pPr>
        <w:ind w:left="1789" w:hanging="360"/>
      </w:pPr>
    </w:lvl>
    <w:lvl w:ilvl="2" w:tplc="730AC4FA">
      <w:start w:val="1"/>
      <w:numFmt w:val="lowerRoman"/>
      <w:lvlText w:val="%3."/>
      <w:lvlJc w:val="right"/>
      <w:pPr>
        <w:ind w:left="2509" w:hanging="180"/>
      </w:pPr>
    </w:lvl>
    <w:lvl w:ilvl="3" w:tplc="461277EA">
      <w:start w:val="1"/>
      <w:numFmt w:val="decimal"/>
      <w:lvlText w:val="%4."/>
      <w:lvlJc w:val="left"/>
      <w:pPr>
        <w:ind w:left="3229" w:hanging="360"/>
      </w:pPr>
    </w:lvl>
    <w:lvl w:ilvl="4" w:tplc="C7603D64">
      <w:start w:val="1"/>
      <w:numFmt w:val="lowerLetter"/>
      <w:lvlText w:val="%5."/>
      <w:lvlJc w:val="left"/>
      <w:pPr>
        <w:ind w:left="3949" w:hanging="360"/>
      </w:pPr>
    </w:lvl>
    <w:lvl w:ilvl="5" w:tplc="B5B6ABB8">
      <w:start w:val="1"/>
      <w:numFmt w:val="lowerRoman"/>
      <w:lvlText w:val="%6."/>
      <w:lvlJc w:val="right"/>
      <w:pPr>
        <w:ind w:left="4669" w:hanging="180"/>
      </w:pPr>
    </w:lvl>
    <w:lvl w:ilvl="6" w:tplc="5CF23C8E">
      <w:start w:val="1"/>
      <w:numFmt w:val="decimal"/>
      <w:lvlText w:val="%7."/>
      <w:lvlJc w:val="left"/>
      <w:pPr>
        <w:ind w:left="5389" w:hanging="360"/>
      </w:pPr>
    </w:lvl>
    <w:lvl w:ilvl="7" w:tplc="8F841C8C">
      <w:start w:val="1"/>
      <w:numFmt w:val="lowerLetter"/>
      <w:lvlText w:val="%8."/>
      <w:lvlJc w:val="left"/>
      <w:pPr>
        <w:ind w:left="6109" w:hanging="360"/>
      </w:pPr>
    </w:lvl>
    <w:lvl w:ilvl="8" w:tplc="6B68E80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9064B2E6">
      <w:start w:val="1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hAnsi="Times New Roman" w:eastAsia="Times New Roman" w:cs="Times New Roman"/>
      </w:rPr>
    </w:lvl>
    <w:lvl w:ilvl="1" w:tplc="9CC0005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1CC8673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D321F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828E28C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19AE41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7248C1F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08E528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C714032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 w:tplc="BBA072C2">
      <w:start w:val="1"/>
      <w:numFmt w:val="decimal"/>
      <w:lvlText w:val="%1."/>
      <w:lvlJc w:val="left"/>
      <w:pPr>
        <w:ind w:left="1069" w:hanging="360"/>
      </w:pPr>
    </w:lvl>
    <w:lvl w:ilvl="1" w:tplc="0DAE09B8">
      <w:start w:val="1"/>
      <w:numFmt w:val="lowerLetter"/>
      <w:lvlText w:val="%2."/>
      <w:lvlJc w:val="left"/>
      <w:pPr>
        <w:ind w:left="1789" w:hanging="360"/>
      </w:pPr>
    </w:lvl>
    <w:lvl w:ilvl="2" w:tplc="3D1CD8DE">
      <w:start w:val="1"/>
      <w:numFmt w:val="lowerRoman"/>
      <w:lvlText w:val="%3."/>
      <w:lvlJc w:val="right"/>
      <w:pPr>
        <w:ind w:left="2509" w:hanging="180"/>
      </w:pPr>
    </w:lvl>
    <w:lvl w:ilvl="3" w:tplc="39386CB6">
      <w:start w:val="1"/>
      <w:numFmt w:val="decimal"/>
      <w:lvlText w:val="%4."/>
      <w:lvlJc w:val="left"/>
      <w:pPr>
        <w:ind w:left="3229" w:hanging="360"/>
      </w:pPr>
    </w:lvl>
    <w:lvl w:ilvl="4" w:tplc="032CFFCC">
      <w:start w:val="1"/>
      <w:numFmt w:val="lowerLetter"/>
      <w:lvlText w:val="%5."/>
      <w:lvlJc w:val="left"/>
      <w:pPr>
        <w:ind w:left="3949" w:hanging="360"/>
      </w:pPr>
    </w:lvl>
    <w:lvl w:ilvl="5" w:tplc="D9820906">
      <w:start w:val="1"/>
      <w:numFmt w:val="lowerRoman"/>
      <w:lvlText w:val="%6."/>
      <w:lvlJc w:val="right"/>
      <w:pPr>
        <w:ind w:left="4669" w:hanging="180"/>
      </w:pPr>
    </w:lvl>
    <w:lvl w:ilvl="6" w:tplc="86F26878">
      <w:start w:val="1"/>
      <w:numFmt w:val="decimal"/>
      <w:lvlText w:val="%7."/>
      <w:lvlJc w:val="left"/>
      <w:pPr>
        <w:ind w:left="5389" w:hanging="360"/>
      </w:pPr>
    </w:lvl>
    <w:lvl w:ilvl="7" w:tplc="3DEE55A0">
      <w:start w:val="1"/>
      <w:numFmt w:val="lowerLetter"/>
      <w:lvlText w:val="%8."/>
      <w:lvlJc w:val="left"/>
      <w:pPr>
        <w:ind w:left="6109" w:hanging="360"/>
      </w:pPr>
    </w:lvl>
    <w:lvl w:ilvl="8" w:tplc="3C16732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styleId="ac" w:customStyle="1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5Dark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GridTable6Colorful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ListTable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5Dark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Table6Colorful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2"/>
    <w:basedOn w:val="a"/>
    <w:pPr>
      <w:jc w:val="center"/>
    </w:pPr>
    <w:rPr>
      <w:sz w:val="28"/>
    </w:rPr>
  </w:style>
  <w:style w:type="paragraph" w:styleId="32">
    <w:name w:val="Body Text Indent 3"/>
    <w:basedOn w:val="a"/>
    <w:pPr>
      <w:ind w:firstLine="720"/>
      <w:jc w:val="both"/>
    </w:pPr>
    <w:rPr>
      <w:sz w:val="26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ody Text Indent"/>
    <w:basedOn w:val="a"/>
    <w:pPr>
      <w:ind w:firstLine="709"/>
      <w:jc w:val="both"/>
    </w:pPr>
    <w:rPr>
      <w:color w:val="000000"/>
      <w:sz w:val="26"/>
    </w:rPr>
  </w:style>
  <w:style w:type="paragraph" w:styleId="ConsNormal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pPr>
      <w:ind w:firstLine="709"/>
      <w:jc w:val="both"/>
    </w:pPr>
    <w:rPr>
      <w:sz w:val="28"/>
    </w:rPr>
  </w:style>
  <w:style w:type="paragraph" w:styleId="afe" w:customStyle="1">
    <w:name w:val="Знак"/>
    <w:basedOn w:val="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aff">
    <w:name w:val="Emphasis"/>
    <w:qFormat/>
    <w:rPr>
      <w:i/>
      <w:iCs/>
    </w:rPr>
  </w:style>
  <w:style w:type="paragraph" w:styleId="14" w:customStyle="1">
    <w:name w:val="Обычный + 14 пт"/>
    <w:basedOn w:val="a"/>
    <w:link w:val="140"/>
    <w:pPr>
      <w:widowControl w:val="off"/>
      <w:ind w:firstLine="709"/>
      <w:jc w:val="both"/>
    </w:pPr>
    <w:rPr>
      <w:sz w:val="28"/>
      <w:szCs w:val="28"/>
    </w:rPr>
  </w:style>
  <w:style w:type="character" w:styleId="140" w:customStyle="1">
    <w:name w:val="Обычный + 14 пт Знак"/>
    <w:link w:val="14"/>
    <w:rPr>
      <w:sz w:val="28"/>
      <w:szCs w:val="28"/>
    </w:rPr>
  </w:style>
  <w:style w:type="paragraph" w:styleId="110" w:customStyle="1">
    <w:name w:val="Основной текст с отступом.Мой Заголовок 1.Основной текст 1"/>
    <w:basedOn w:val="a"/>
    <w:pPr>
      <w:ind w:firstLine="708"/>
      <w:jc w:val="both"/>
    </w:pPr>
    <w:rPr>
      <w:sz w:val="32"/>
    </w:rPr>
  </w:style>
  <w:style w:type="paragraph" w:styleId="Char" w:customStyle="1">
    <w:name w:val="Char Знак Знак"/>
    <w:basedOn w:val="a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consplustitle" w:customStyle="1">
    <w:name w:val="consplustitle"/>
    <w:basedOn w:val="a"/>
    <w:rPr>
      <w:rFonts w:ascii="Arial" w:hAnsi="Arial" w:eastAsia="Arial Unicode MS" w:cs="Arial"/>
      <w:b/>
      <w:bCs/>
    </w:rPr>
  </w:style>
  <w:style w:type="paragraph" w:styleId="12" w:customStyle="1">
    <w:name w:val="Текст1"/>
    <w:basedOn w:val="a"/>
    <w:rPr>
      <w:rFonts w:ascii="Calibri" w:hAnsi="Calibri" w:eastAsia="Calibri"/>
      <w:sz w:val="22"/>
      <w:szCs w:val="21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6179</Characters>
  <CharactersWithSpaces>7248</CharactersWithSpaces>
  <Company>11</Company>
  <DocSecurity>0</DocSecurity>
  <HyperlinksChanged>false</HyperlinksChanged>
  <Lines>51</Lines>
  <LinksUpToDate>false</LinksUpToDate>
  <Pages>1</Pages>
  <Paragraphs>14</Paragraphs>
  <ScaleCrop>false</ScaleCrop>
  <SharedDoc>false</SharedDoc>
  <Template>Normal</Template>
  <TotalTime>7</TotalTime>
  <Words>1083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lastModifiedBy>Петухова Светлана Анатольевна</cp:lastModifiedBy>
  <cp:revision>11</cp:revision>
  <dcterms:created xsi:type="dcterms:W3CDTF">2023-10-09T08:23:00Z</dcterms:created>
  <dcterms:modified xsi:type="dcterms:W3CDTF">2023-10-25T09:34:00Z</dcterms:modified>
  <cp:version>917504</cp:version>
</cp:coreProperties>
</file>