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НОВОСИБИРСКАЯ ОБЛАСТНАЯ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ТРЕХСТОРОННЯЯ КОМИССИЯ ПО РЕГУЛИРОВАНИЮ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СОЦИАЛЬНО-ТРУДОВЫХ ОТНОШЕНИЙ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РЕШЕНИЕ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pStyle w:val="866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pStyle w:val="866"/>
        <w:jc w:val="left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131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keepNext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05.03.2025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379" w:type="dxa"/>
            <w:textDirection w:val="lrTb"/>
            <w:noWrap w:val="false"/>
          </w:tcPr>
          <w:p>
            <w:pPr>
              <w:jc w:val="center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г. Новосибирск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131" w:type="dxa"/>
            <w:textDirection w:val="lrTb"/>
            <w:noWrap w:val="false"/>
          </w:tcPr>
          <w:p>
            <w:pPr>
              <w:jc w:val="right"/>
              <w:keepNext/>
              <w:widowControl w:val="off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№ 1</w:t>
            </w:r>
            <w:r>
              <w:rPr>
                <w:sz w:val="28"/>
                <w:szCs w:val="28"/>
              </w:rPr>
              <w:t xml:space="preserve">/</w:t>
            </w:r>
            <w:r>
              <w:rPr>
                <w:sz w:val="28"/>
                <w:szCs w:val="28"/>
                <w:lang w:val="en-US"/>
              </w:rPr>
              <w:t xml:space="preserve">3</w:t>
            </w:r>
            <w:r>
              <w:rPr>
                <w:sz w:val="28"/>
                <w:szCs w:val="28"/>
                <w:lang w:val="en-US"/>
              </w:rPr>
            </w:r>
            <w:r>
              <w:rPr>
                <w:sz w:val="28"/>
                <w:szCs w:val="28"/>
                <w:lang w:val="en-US"/>
              </w:rPr>
            </w:r>
          </w:p>
        </w:tc>
      </w:tr>
    </w:tbl>
    <w:p>
      <w:pPr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tbl>
      <w:tblPr>
        <w:tblW w:w="9923" w:type="dxa"/>
        <w:tblLook w:val="04A0" w:firstRow="1" w:lastRow="0" w:firstColumn="1" w:lastColumn="0" w:noHBand="0" w:noVBand="1"/>
      </w:tblPr>
      <w:tblGrid>
        <w:gridCol w:w="6204"/>
        <w:gridCol w:w="3719"/>
      </w:tblGrid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204" w:type="dxa"/>
            <w:textDirection w:val="lrTb"/>
            <w:noWrap w:val="false"/>
          </w:tcPr>
          <w:p>
            <w:pPr>
              <w:jc w:val="both"/>
              <w:rPr>
                <w:sz w:val="28"/>
                <w:szCs w:val="28"/>
              </w:rPr>
            </w:pPr>
            <w:r>
              <w:rPr>
                <w:color w:val="000000" w:themeColor="text1"/>
                <w:sz w:val="28"/>
                <w:szCs w:val="28"/>
              </w:rPr>
              <w:t xml:space="preserve">Об использовании в 2024</w:t>
            </w:r>
            <w:r>
              <w:rPr>
                <w:color w:val="000000" w:themeColor="text1"/>
                <w:sz w:val="28"/>
                <w:szCs w:val="28"/>
              </w:rPr>
              <w:t xml:space="preserve"> году финансовых средств на предупредительные меры по сокращению производственного травматизма и профессиональных заболеваний работников и на санаторно-курортное лечение работников, занятых на работах с вредными и (или) опасными производственными факторами</w:t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719" w:type="dxa"/>
            <w:textDirection w:val="lrTb"/>
            <w:noWrap w:val="false"/>
          </w:tcPr>
          <w:p>
            <w:pPr>
              <w:jc w:val="both"/>
              <w:keepNext/>
              <w:widowControl w:val="off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</w:tr>
    </w:tbl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numPr>
          <w:ilvl w:val="0"/>
          <w:numId w:val="3"/>
        </w:numPr>
        <w:ind w:left="0" w:firstLine="709"/>
        <w:jc w:val="both"/>
        <w:tabs>
          <w:tab w:val="clear" w:pos="0" w:leader="none"/>
        </w:tabs>
        <w:rPr>
          <w:rFonts w:ascii="Times New Roman" w:hAnsi="Times New Roman" w:cs="Times New Roman"/>
          <w:sz w:val="28"/>
          <w:szCs w:val="28"/>
          <w14:ligatures w14:val="none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  <w:t xml:space="preserve">Н</w:t>
      </w:r>
      <w:r>
        <w:rPr>
          <w:rFonts w:ascii="Times New Roman" w:hAnsi="Times New Roman" w:cs="Times New Roman"/>
          <w:sz w:val="28"/>
          <w:szCs w:val="28"/>
        </w:rPr>
        <w:t xml:space="preserve">овосибирская</w:t>
      </w:r>
      <w:r>
        <w:rPr>
          <w:rFonts w:ascii="Times New Roman" w:hAnsi="Times New Roman" w:cs="Times New Roman"/>
          <w:sz w:val="28"/>
          <w:szCs w:val="28"/>
        </w:rPr>
        <w:t xml:space="preserve"> областная трехсторонняя комиссия по регулировани</w:t>
      </w:r>
      <w:r>
        <w:rPr>
          <w:rFonts w:ascii="Times New Roman" w:hAnsi="Times New Roman" w:cs="Times New Roman"/>
          <w:sz w:val="28"/>
          <w:szCs w:val="28"/>
        </w:rPr>
        <w:t xml:space="preserve">ю с</w:t>
      </w:r>
      <w:r>
        <w:rPr>
          <w:rFonts w:ascii="Times New Roman" w:hAnsi="Times New Roman" w:cs="Times New Roman"/>
          <w:sz w:val="28"/>
          <w:szCs w:val="28"/>
        </w:rPr>
        <w:t xml:space="preserve">оциально-трудовых отношений (далее – Комиссия) отмечает, что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Отделением </w:t>
      </w:r>
      <w:r>
        <w:rPr>
          <w:rFonts w:ascii="Times New Roman" w:hAnsi="Times New Roman" w:cs="Times New Roman"/>
          <w:sz w:val="28"/>
          <w:szCs w:val="28"/>
        </w:rPr>
        <w:t xml:space="preserve">Фонда пенсионного и социального страхования</w:t>
      </w:r>
      <w:r>
        <w:rPr>
          <w:rFonts w:ascii="Times New Roman" w:hAnsi="Times New Roman" w:cs="Times New Roman"/>
          <w:sz w:val="28"/>
          <w:szCs w:val="28"/>
        </w:rPr>
        <w:t xml:space="preserve"> Российской Федерации по Новосибирской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(далее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–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ОСФР </w:t>
      </w:r>
      <w:r>
        <w:rPr>
          <w:rFonts w:ascii="Times New Roman" w:hAnsi="Times New Roman" w:cs="Times New Roman"/>
          <w:sz w:val="28"/>
          <w:szCs w:val="28"/>
        </w:rPr>
        <w:t xml:space="preserve">по Новосибирской области)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обеспечивается финансирование предупредительных мер по сокращению производственного травматизма и профессиональных заболева</w:t>
      </w:r>
      <w:r>
        <w:rPr>
          <w:rFonts w:ascii="Times New Roman" w:hAnsi="Times New Roman" w:cs="Times New Roman"/>
          <w:sz w:val="28"/>
          <w:szCs w:val="28"/>
        </w:rPr>
        <w:t xml:space="preserve">ний работников и санаторно-курортного лечения работников, занятых на работах с вредными и (или) опасными производственными факторами (далее – финансовое обеспечение предупредительных мер), в соответствии 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r>
        <w:rPr>
          <w:rFonts w:ascii="Times New Roman" w:hAnsi="Times New Roman" w:cs="Times New Roman"/>
          <w:sz w:val="28"/>
          <w:szCs w:val="28"/>
        </w:rPr>
        <w:t xml:space="preserve">Правилами финансового обеспечения предупредительных мер по сокращению </w:t>
      </w:r>
      <w:r>
        <w:rPr>
          <w:rFonts w:ascii="Times New Roman" w:hAnsi="Times New Roman" w:cs="Times New Roman"/>
          <w:sz w:val="28"/>
          <w:szCs w:val="28"/>
        </w:rPr>
        <w:t xml:space="preserve">производственного травматизма и профессиональных заболеваний работников и санаторно-курортного лечения работников, занятых на работах с вредными и (или) опасными производственными факторами, утвержденными приказом Министерства труда и социальной защиты Рос</w:t>
      </w:r>
      <w:r>
        <w:rPr>
          <w:rFonts w:ascii="Times New Roman" w:hAnsi="Times New Roman" w:cs="Times New Roman"/>
          <w:sz w:val="28"/>
          <w:szCs w:val="28"/>
        </w:rPr>
        <w:t xml:space="preserve">сийской Федерации от 14.07.2021 № </w:t>
      </w:r>
      <w:r>
        <w:rPr>
          <w:rFonts w:ascii="Times New Roman" w:hAnsi="Times New Roman" w:cs="Times New Roman"/>
          <w:sz w:val="28"/>
          <w:szCs w:val="28"/>
        </w:rPr>
        <w:t xml:space="preserve">467н </w:t>
      </w:r>
      <w:r>
        <w:rPr>
          <w:rFonts w:ascii="Times New Roman" w:hAnsi="Times New Roman" w:cs="Times New Roman"/>
          <w:sz w:val="28"/>
          <w:szCs w:val="28"/>
        </w:rPr>
        <w:t xml:space="preserve">(далее – Правила).</w:t>
      </w:r>
      <w:r>
        <w:rPr>
          <w:rFonts w:ascii="Times New Roman" w:hAnsi="Times New Roman" w:cs="Times New Roman"/>
          <w:sz w:val="28"/>
          <w:szCs w:val="28"/>
          <w14:ligatures w14:val="none"/>
        </w:rPr>
      </w:r>
      <w:r>
        <w:rPr>
          <w:rFonts w:ascii="Times New Roman" w:hAnsi="Times New Roman" w:cs="Times New Roman"/>
          <w:sz w:val="28"/>
          <w:szCs w:val="28"/>
          <w14:ligatures w14:val="none"/>
        </w:rPr>
      </w:r>
    </w:p>
    <w:p>
      <w:pPr>
        <w:pStyle w:val="881"/>
        <w:numPr>
          <w:ilvl w:val="0"/>
          <w:numId w:val="1"/>
        </w:numPr>
        <w:ind w:left="0" w:right="0" w:firstLine="709"/>
        <w:jc w:val="both"/>
        <w:spacing w:before="0" w:after="0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Правилами,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одлежат возмещению расходы </w:t>
      </w:r>
      <w:r>
        <w:rPr>
          <w:sz w:val="28"/>
          <w:szCs w:val="28"/>
          <w:lang w:eastAsia="en-US"/>
        </w:rPr>
        <w:t xml:space="preserve">организации любой формы собственности (далее </w:t>
      </w:r>
      <w:r>
        <w:rPr>
          <w:sz w:val="28"/>
          <w:szCs w:val="28"/>
          <w:lang w:eastAsia="en-US"/>
        </w:rPr>
        <w:t xml:space="preserve"> страхователь)</w:t>
      </w:r>
      <w:r>
        <w:rPr>
          <w:sz w:val="28"/>
          <w:szCs w:val="28"/>
        </w:rPr>
        <w:t xml:space="preserve"> на </w:t>
      </w:r>
      <w:r>
        <w:rPr>
          <w:color w:val="000000" w:themeColor="text1"/>
          <w:sz w:val="28"/>
          <w:szCs w:val="28"/>
        </w:rPr>
        <w:t xml:space="preserve">предупредительные меры по сокращению производственного травматизма и профессиональных заболеваний работников и на санаторно-курортное лечение работников, занятых на работах с вредными и (или) опасными производственными факторами,</w:t>
      </w:r>
      <w:r>
        <w:rPr>
          <w:sz w:val="28"/>
          <w:szCs w:val="28"/>
        </w:rPr>
        <w:t xml:space="preserve"> за счет сумм </w:t>
      </w:r>
      <w:r>
        <w:rPr>
          <w:sz w:val="28"/>
          <w:szCs w:val="28"/>
        </w:rPr>
        <w:t xml:space="preserve">страховых взносов на обязательное социальное страхование от несчастных случаев на производстве и профессиональных заболеваний</w:t>
      </w:r>
      <w:r>
        <w:rPr>
          <w:sz w:val="28"/>
          <w:szCs w:val="28"/>
        </w:rPr>
        <w:t xml:space="preserve">.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numPr>
          <w:ilvl w:val="0"/>
          <w:numId w:val="1"/>
        </w:numPr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2024 год </w:t>
      </w:r>
      <w:r>
        <w:rPr>
          <w:rFonts w:ascii="Times New Roman" w:hAnsi="Times New Roman" w:cs="Times New Roman"/>
          <w:sz w:val="28"/>
          <w:szCs w:val="28"/>
        </w:rPr>
        <w:t xml:space="preserve">утверждены ассигнования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 xml:space="preserve">финансовое обеспечение предупредительных мер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</w:t>
      </w:r>
      <w:r>
        <w:rPr>
          <w:rFonts w:ascii="Times New Roman" w:hAnsi="Times New Roman" w:cs="Times New Roman"/>
          <w:sz w:val="28"/>
          <w:szCs w:val="28"/>
        </w:rPr>
        <w:t xml:space="preserve"> размере </w:t>
      </w:r>
      <w:r>
        <w:rPr>
          <w:rFonts w:ascii="Times New Roman" w:hAnsi="Times New Roman" w:cs="Times New Roman"/>
          <w:sz w:val="28"/>
          <w:szCs w:val="28"/>
        </w:rPr>
        <w:t xml:space="preserve">427</w:t>
      </w:r>
      <w:r>
        <w:rPr>
          <w:rFonts w:ascii="Times New Roman" w:hAnsi="Times New Roman" w:cs="Times New Roman"/>
          <w:sz w:val="28"/>
          <w:szCs w:val="28"/>
        </w:rPr>
        <w:t xml:space="preserve">,6</w:t>
      </w:r>
      <w:r>
        <w:rPr>
          <w:rFonts w:ascii="Times New Roman" w:hAnsi="Times New Roman" w:cs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млн</w:t>
      </w:r>
      <w:r>
        <w:rPr>
          <w:rFonts w:ascii="Times New Roman" w:hAnsi="Times New Roman" w:cs="Times New Roman"/>
          <w:sz w:val="28"/>
          <w:szCs w:val="28"/>
        </w:rPr>
        <w:t xml:space="preserve"> рублей.</w:t>
      </w:r>
      <w:r>
        <w:rPr>
          <w:rFonts w:ascii="Times New Roman" w:hAnsi="Times New Roman" w:cs="Times New Roman"/>
          <w:sz w:val="28"/>
          <w:szCs w:val="28"/>
        </w:rPr>
        <w:t xml:space="preserve"> В соответствии с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Правила</w:t>
      </w:r>
      <w:r>
        <w:rPr>
          <w:rFonts w:ascii="Times New Roman" w:hAnsi="Times New Roman" w:cs="Times New Roman"/>
          <w:sz w:val="28"/>
          <w:szCs w:val="28"/>
        </w:rPr>
        <w:t xml:space="preserve">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средства </w:t>
      </w:r>
      <w:r>
        <w:rPr>
          <w:rFonts w:ascii="Times New Roman" w:hAnsi="Times New Roman" w:cs="Times New Roman"/>
          <w:sz w:val="28"/>
          <w:szCs w:val="28"/>
        </w:rPr>
        <w:t xml:space="preserve">были </w:t>
      </w:r>
      <w:r>
        <w:rPr>
          <w:rFonts w:ascii="Times New Roman" w:hAnsi="Times New Roman" w:cs="Times New Roman"/>
          <w:sz w:val="28"/>
          <w:szCs w:val="28"/>
        </w:rPr>
        <w:t xml:space="preserve">направлены на </w:t>
      </w:r>
      <w:r>
        <w:rPr>
          <w:rFonts w:ascii="Times New Roman" w:hAnsi="Times New Roman" w:cs="Times New Roman"/>
          <w:sz w:val="28"/>
          <w:szCs w:val="28"/>
        </w:rPr>
        <w:t xml:space="preserve">финансирование</w:t>
      </w:r>
      <w:r>
        <w:rPr>
          <w:rFonts w:ascii="Times New Roman" w:hAnsi="Times New Roman" w:cs="Times New Roman"/>
          <w:sz w:val="28"/>
          <w:szCs w:val="28"/>
        </w:rPr>
        <w:t xml:space="preserve"> 17 направлений финансового обеспечения, в том числе: </w:t>
      </w:r>
      <w:r>
        <w:rPr>
          <w:rFonts w:ascii="Times New Roman" w:hAnsi="Times New Roman" w:cs="Times New Roman"/>
          <w:sz w:val="28"/>
          <w:szCs w:val="28"/>
        </w:rPr>
        <w:t xml:space="preserve">приобретение средств индивидуальной и коллективной защиты, проведение специальной оценки условий труда на рабочих местах, обучение работников безопасным методам</w:t>
      </w:r>
      <w:r>
        <w:rPr>
          <w:rFonts w:ascii="Times New Roman" w:hAnsi="Times New Roman" w:cs="Times New Roman"/>
          <w:sz w:val="28"/>
          <w:szCs w:val="28"/>
        </w:rPr>
        <w:t xml:space="preserve"> и приемам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выполнения работ повышенной опасности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обеспечение лечебно-профилактическим питанием работников,</w:t>
      </w:r>
      <w:r>
        <w:rPr>
          <w:rFonts w:ascii="Times New Roman" w:hAnsi="Times New Roman" w:cs="Times New Roman"/>
          <w:sz w:val="28"/>
          <w:szCs w:val="28"/>
        </w:rPr>
        <w:t xml:space="preserve"> организацию профила</w:t>
      </w:r>
      <w:r>
        <w:rPr>
          <w:rFonts w:ascii="Times New Roman" w:hAnsi="Times New Roman" w:cs="Times New Roman"/>
          <w:sz w:val="28"/>
          <w:szCs w:val="28"/>
        </w:rPr>
        <w:t xml:space="preserve">ктических медицинских осмотров,</w:t>
      </w:r>
      <w:r>
        <w:rPr>
          <w:rFonts w:ascii="Times New Roman" w:hAnsi="Times New Roman" w:cs="Times New Roman"/>
          <w:sz w:val="28"/>
          <w:szCs w:val="28"/>
        </w:rPr>
        <w:t xml:space="preserve"> санаторно-курортное лечение</w:t>
      </w:r>
      <w:r>
        <w:rPr>
          <w:rFonts w:ascii="Times New Roman" w:hAnsi="Times New Roman" w:cs="Times New Roman"/>
          <w:sz w:val="28"/>
          <w:szCs w:val="28"/>
        </w:rPr>
        <w:t xml:space="preserve"> и другие направления.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left="0" w:right="0" w:firstLine="709"/>
        <w:jc w:val="both"/>
        <w:rPr>
          <w:rFonts w:eastAsia="Calibri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В 2024 году расходы на оплату предупредительных мер  возмещены </w:t>
      </w:r>
      <w:r>
        <w:rPr>
          <w:rFonts w:ascii="Times New Roman" w:hAnsi="Times New Roman" w:cs="Times New Roman"/>
          <w:sz w:val="28"/>
          <w:szCs w:val="28"/>
        </w:rPr>
        <w:t xml:space="preserve">961 страховате</w:t>
      </w:r>
      <w:r>
        <w:rPr>
          <w:rFonts w:ascii="Times New Roman" w:hAnsi="Times New Roman" w:cs="Times New Roman"/>
          <w:sz w:val="28"/>
          <w:szCs w:val="28"/>
        </w:rPr>
        <w:t xml:space="preserve">лю</w:t>
      </w:r>
      <w:r>
        <w:rPr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, общая сумма возмещения составила свыше </w:t>
      </w:r>
      <w:r>
        <w:rPr>
          <w:rFonts w:ascii="Times New Roman" w:hAnsi="Times New Roman" w:eastAsia="Calibri" w:cs="Times New Roman"/>
          <w:sz w:val="28"/>
          <w:szCs w:val="28"/>
        </w:rPr>
        <w:t xml:space="preserve">427,6 млн  рублей</w:t>
      </w:r>
      <w:r>
        <w:rPr>
          <w:rFonts w:ascii="Times New Roman" w:hAnsi="Times New Roman" w:cs="Times New Roman"/>
          <w:sz w:val="28"/>
          <w:szCs w:val="28"/>
        </w:rPr>
        <w:t xml:space="preserve">. Расходы были распределены следующим образом: на</w:t>
      </w:r>
      <w:r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приобретение работникам, занятым на работах с вредными и (или) опасными условиями труда, а также на работах, выполняемых в особых температурных условиях или связанных с загрязнением, средств индивидуальной защиты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–</w:t>
      </w:r>
      <w:r>
        <w:rPr>
          <w:rFonts w:ascii="Times New Roman" w:hAnsi="Times New Roman" w:eastAsia="Calibri" w:cs="Times New Roman"/>
          <w:sz w:val="28"/>
          <w:szCs w:val="28"/>
          <w:highlight w:val="non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47,2%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от суммы всех возмещенных расходов;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санаторно-курортное лечение работников не ранее чем за пять лет до достижения ими возраста, дающего право на назначение страховой пенсии по старости,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22,1%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проведение обязательных периодических медицинских осмотров (обследований) работников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20,4%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 </w:t>
      </w:r>
      <w:r>
        <w:rPr>
          <w:rFonts w:eastAsia="Calibri"/>
          <w:sz w:val="28"/>
          <w:szCs w:val="28"/>
          <w:highlight w:val="white"/>
        </w:rPr>
        <w:t xml:space="preserve">санаторно-курортное лечение работников, занятых на работах с вредными и (или) опасными производственными факторами (исключая размещение в номерах высшей категории)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5,5%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проведение специальной оценки условий труда 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2,9%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; приобретение </w:t>
      </w:r>
      <w:r>
        <w:rPr>
          <w:rFonts w:eastAsia="Calibri"/>
          <w:sz w:val="28"/>
          <w:szCs w:val="28"/>
          <w:highlight w:val="white"/>
        </w:rPr>
        <w:t xml:space="preserve">отдельных приборов, устройств, оборуд</w:t>
      </w:r>
      <w:r>
        <w:rPr>
          <w:rFonts w:eastAsia="Calibri"/>
          <w:sz w:val="28"/>
          <w:szCs w:val="28"/>
          <w:highlight w:val="white"/>
        </w:rPr>
        <w:t xml:space="preserve">ования и (или) комплексов (систем) приборов, устройств, оборудования, непосредственно предназначенных для обеспечения безопасности работников и (или) контроля за безопасным ведением работ в рамках технологических процессов, в том числе на подземных работах</w:t>
      </w:r>
      <w:r>
        <w:rPr>
          <w:rFonts w:eastAsia="Calibri"/>
          <w:sz w:val="28"/>
          <w:szCs w:val="28"/>
          <w:highlight w:val="white"/>
        </w:rPr>
        <w:t xml:space="preserve"> – 1%; </w:t>
      </w:r>
      <w:r>
        <w:rPr>
          <w:rFonts w:ascii="Times New Roman" w:hAnsi="Times New Roman" w:eastAsia="Calibri" w:cs="Times New Roman"/>
          <w:sz w:val="28"/>
          <w:szCs w:val="28"/>
          <w:highlight w:val="white"/>
        </w:rPr>
        <w:t xml:space="preserve">остальные виды мероприятий – менее 1%.</w:t>
      </w:r>
      <w:r>
        <w:rPr>
          <w:rFonts w:eastAsia="Calibri"/>
          <w:sz w:val="28"/>
          <w:szCs w:val="28"/>
          <w:highlight w:val="white"/>
        </w:rPr>
      </w:r>
      <w:r>
        <w:rPr>
          <w:rFonts w:eastAsia="Calibri"/>
          <w:sz w:val="28"/>
          <w:szCs w:val="28"/>
          <w:highlight w:val="white"/>
        </w:rPr>
      </w:r>
    </w:p>
    <w:p>
      <w:pPr>
        <w:ind w:left="0" w:right="0"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</w:r>
      <w:r>
        <w:rPr>
          <w:color w:val="000000"/>
          <w:sz w:val="28"/>
          <w:szCs w:val="28"/>
        </w:rPr>
        <w:t xml:space="preserve">С 1 января 2025 года вступили</w:t>
      </w:r>
      <w:r>
        <w:rPr>
          <w:color w:val="000000"/>
          <w:sz w:val="28"/>
          <w:szCs w:val="28"/>
        </w:rPr>
        <w:t xml:space="preserve"> в действие </w:t>
      </w:r>
      <w:r>
        <w:rPr>
          <w:color w:val="000000"/>
          <w:sz w:val="28"/>
          <w:szCs w:val="28"/>
        </w:rPr>
        <w:t xml:space="preserve">новые правила финансового обеспечения предупредительных мер</w:t>
      </w:r>
      <w:r>
        <w:rPr>
          <w:color w:val="000000"/>
          <w:sz w:val="28"/>
          <w:szCs w:val="28"/>
        </w:rPr>
        <w:t xml:space="preserve"> (</w:t>
      </w:r>
      <w:r>
        <w:rPr>
          <w:color w:val="000000"/>
          <w:sz w:val="28"/>
          <w:szCs w:val="28"/>
        </w:rPr>
        <w:t xml:space="preserve">приказ </w:t>
      </w:r>
      <w:r>
        <w:rPr>
          <w:color w:val="000000"/>
          <w:sz w:val="28"/>
          <w:szCs w:val="28"/>
        </w:rPr>
        <w:t xml:space="preserve">Министерства труда и социальной защиты Российской Федерации от 11.07.2024 № 347н</w:t>
      </w:r>
      <w:r>
        <w:rPr>
          <w:color w:val="000000"/>
          <w:sz w:val="28"/>
          <w:szCs w:val="28"/>
        </w:rPr>
        <w:t xml:space="preserve">), </w:t>
      </w:r>
      <w:r>
        <w:rPr>
          <w:color w:val="000000"/>
          <w:sz w:val="28"/>
          <w:szCs w:val="28"/>
        </w:rPr>
        <w:t xml:space="preserve">в соответствии с которыми </w:t>
      </w:r>
      <w:r>
        <w:rPr>
          <w:color w:val="000000"/>
          <w:sz w:val="28"/>
          <w:szCs w:val="28"/>
        </w:rPr>
        <w:t xml:space="preserve">упрощен по</w:t>
      </w:r>
      <w:r>
        <w:rPr>
          <w:color w:val="000000"/>
          <w:sz w:val="28"/>
          <w:szCs w:val="28"/>
        </w:rPr>
        <w:t xml:space="preserve">рядок обращения страхователей. </w:t>
      </w:r>
      <w:r>
        <w:rPr>
          <w:sz w:val="28"/>
          <w:szCs w:val="28"/>
        </w:rPr>
        <w:t xml:space="preserve">П</w:t>
      </w:r>
      <w:r>
        <w:rPr>
          <w:sz w:val="28"/>
          <w:szCs w:val="28"/>
        </w:rPr>
        <w:t xml:space="preserve">риоритетным способом подачи</w:t>
      </w:r>
      <w:r>
        <w:rPr>
          <w:sz w:val="28"/>
          <w:szCs w:val="28"/>
        </w:rPr>
        <w:t xml:space="preserve"> документов является направление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зая</w:t>
      </w:r>
      <w:r>
        <w:rPr>
          <w:sz w:val="28"/>
          <w:szCs w:val="28"/>
        </w:rPr>
        <w:t xml:space="preserve">вления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через федеральную государственную информационную систему «Единый портал государственных и муниципальных услуг (функций)».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880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ОСФР по Новосибирской области в рамках финансового обеспечения предупредительных мер на 2025 год утверждены ассигнования в размере 532,5 млн рублей</w:t>
      </w:r>
      <w:r>
        <w:rPr>
          <w:rFonts w:ascii="Times New Roman" w:hAnsi="Times New Roman" w:cs="Times New Roman"/>
          <w:sz w:val="28"/>
          <w:szCs w:val="28"/>
        </w:rPr>
        <w:t xml:space="preserve">, что </w:t>
      </w:r>
      <w:r>
        <w:rPr>
          <w:rFonts w:ascii="Times New Roman" w:hAnsi="Times New Roman" w:cs="Times New Roman"/>
          <w:sz w:val="28"/>
          <w:szCs w:val="28"/>
        </w:rPr>
        <w:t xml:space="preserve">на 24,5</w:t>
      </w:r>
      <w:r>
        <w:rPr>
          <w:rFonts w:ascii="Times New Roman" w:hAnsi="Times New Roman" w:cs="Times New Roman"/>
          <w:sz w:val="28"/>
          <w:szCs w:val="28"/>
        </w:rPr>
        <w:t xml:space="preserve">%</w:t>
      </w:r>
      <w:r>
        <w:rPr>
          <w:rFonts w:ascii="Times New Roman" w:hAnsi="Times New Roman" w:cs="Times New Roman"/>
          <w:sz w:val="28"/>
          <w:szCs w:val="28"/>
        </w:rPr>
        <w:t xml:space="preserve"> больше по сравнению с 2024 годом.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pStyle w:val="880"/>
        <w:numPr>
          <w:ilvl w:val="0"/>
          <w:numId w:val="1"/>
        </w:numPr>
        <w:ind w:left="0" w:right="0" w:firstLine="709"/>
        <w:jc w:val="both"/>
        <w:rPr>
          <w:rFonts w:ascii="Times New Roman" w:hAnsi="Times New Roman" w:cs="Times New Roman"/>
          <w:color w:val="000000" w:themeColor="text1"/>
          <w:sz w:val="28"/>
        </w:rPr>
      </w:pPr>
      <w:r>
        <w:rPr>
          <w:rFonts w:ascii="Times New Roman" w:hAnsi="Times New Roman" w:cs="Times New Roman"/>
          <w:color w:val="000000" w:themeColor="text1"/>
          <w:sz w:val="28"/>
        </w:rPr>
        <w:t xml:space="preserve">Комиссия решила:</w:t>
      </w:r>
      <w:r>
        <w:rPr>
          <w:rFonts w:ascii="Times New Roman" w:hAnsi="Times New Roman" w:cs="Times New Roman"/>
          <w:color w:val="000000" w:themeColor="text1"/>
          <w:sz w:val="28"/>
        </w:rPr>
      </w:r>
      <w:r>
        <w:rPr>
          <w:rFonts w:ascii="Times New Roman" w:hAnsi="Times New Roman" w:cs="Times New Roman"/>
          <w:color w:val="000000" w:themeColor="text1"/>
          <w:sz w:val="28"/>
        </w:rPr>
      </w:r>
    </w:p>
    <w:p>
      <w:pPr>
        <w:ind w:left="0" w:right="0"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  <w:t xml:space="preserve">1. Информацию о результатах работы ОСФР</w:t>
      </w:r>
      <w:r>
        <w:rPr>
          <w:color w:val="000000" w:themeColor="text1"/>
          <w:sz w:val="28"/>
        </w:rPr>
        <w:t xml:space="preserve"> </w:t>
      </w:r>
      <w:r>
        <w:rPr>
          <w:color w:val="000000" w:themeColor="text1"/>
          <w:sz w:val="28"/>
        </w:rPr>
        <w:t xml:space="preserve">по Новосибирской области по </w:t>
      </w:r>
      <w:bookmarkStart w:id="0" w:name="_GoBack"/>
      <w:r/>
      <w:bookmarkEnd w:id="0"/>
      <w:r>
        <w:rPr>
          <w:color w:val="000000" w:themeColor="text1"/>
          <w:sz w:val="28"/>
        </w:rPr>
        <w:t xml:space="preserve">вопросам финансового обеспечения предупредительных мер в 2024 году принять к сведению.</w:t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left="0" w:right="0" w:firstLine="709"/>
        <w:jc w:val="both"/>
        <w:rPr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</w:rPr>
        <w:t xml:space="preserve">2.</w:t>
      </w:r>
      <w:r>
        <w:rPr>
          <w:rFonts w:ascii="Helvetica" w:hAnsi="Helvetica"/>
          <w:sz w:val="21"/>
          <w:szCs w:val="21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Рекомендовать ОСФР</w:t>
      </w:r>
      <w:r>
        <w:rPr>
          <w:color w:val="000000" w:themeColor="text1"/>
          <w:sz w:val="28"/>
        </w:rPr>
        <w:t xml:space="preserve"> по Новосибирской области </w:t>
      </w:r>
      <w:r>
        <w:rPr>
          <w:color w:val="000000" w:themeColor="text1"/>
          <w:sz w:val="28"/>
        </w:rPr>
        <w:t xml:space="preserve">продолжить работу по реализации </w:t>
      </w:r>
      <w:r>
        <w:rPr>
          <w:sz w:val="28"/>
          <w:szCs w:val="28"/>
        </w:rPr>
        <w:t xml:space="preserve">финансового обеспечения</w:t>
      </w:r>
      <w:r>
        <w:rPr>
          <w:sz w:val="28"/>
          <w:szCs w:val="28"/>
        </w:rPr>
        <w:t xml:space="preserve"> предупредительных мер</w:t>
      </w:r>
      <w:r>
        <w:rPr>
          <w:sz w:val="28"/>
          <w:szCs w:val="28"/>
        </w:rPr>
        <w:t xml:space="preserve"> в 2025 году.</w:t>
      </w:r>
      <w:r>
        <w:rPr>
          <w:sz w:val="28"/>
          <w:szCs w:val="28"/>
          <w:shd w:val="clear" w:color="auto" w:fill="ffffff"/>
        </w:rPr>
        <w:t xml:space="preserve"> </w:t>
      </w:r>
      <w:r>
        <w:rPr>
          <w:sz w:val="28"/>
          <w:szCs w:val="28"/>
          <w:shd w:val="clear" w:color="auto" w:fill="ffffff"/>
        </w:rPr>
      </w:r>
      <w:r>
        <w:rPr>
          <w:sz w:val="28"/>
          <w:szCs w:val="28"/>
          <w:shd w:val="clear" w:color="auto" w:fill="ffffff"/>
        </w:rPr>
      </w:r>
    </w:p>
    <w:p>
      <w:pPr>
        <w:ind w:left="0" w:right="0" w:firstLine="709"/>
        <w:jc w:val="both"/>
        <w:rPr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  <w:t xml:space="preserve">3</w:t>
      </w:r>
      <w:r>
        <w:rPr>
          <w:color w:val="000000"/>
          <w:sz w:val="28"/>
          <w:szCs w:val="28"/>
          <w:highlight w:val="white"/>
        </w:rPr>
        <w:t xml:space="preserve">. </w:t>
      </w:r>
      <w:r>
        <w:rPr>
          <w:color w:val="000000"/>
          <w:sz w:val="28"/>
          <w:szCs w:val="28"/>
          <w:highlight w:val="white"/>
        </w:rPr>
        <w:t xml:space="preserve">Новосибирскому региональному союзу объединения</w:t>
      </w:r>
      <w:r>
        <w:rPr>
          <w:color w:val="000000"/>
          <w:sz w:val="28"/>
          <w:szCs w:val="28"/>
          <w:highlight w:val="white"/>
        </w:rPr>
        <w:t xml:space="preserve"> работодателей «Союз руководителей предприятий и работодателей»</w:t>
      </w:r>
      <w:r>
        <w:rPr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Новосибирскому областному союзу организаций профсоюзов «Федерация профсоюзов Новосибирской области» и их соответствующим членским организациям, главам городских округов, муниципальных округов и муниципальных районов Новосибирской области </w:t>
      </w:r>
      <w:r>
        <w:rPr>
          <w:sz w:val="28"/>
          <w:szCs w:val="28"/>
          <w:highlight w:val="white"/>
        </w:rPr>
        <w:t xml:space="preserve">усилить информационно-разъяснительную работу по использованию страхователями возможности получения средств из ОСФР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по Новосибирской области на проведение профилактических мероприятий </w:t>
      </w:r>
      <w:r>
        <w:rPr>
          <w:color w:val="000000" w:themeColor="text1"/>
          <w:sz w:val="28"/>
          <w:szCs w:val="28"/>
          <w:highlight w:val="white"/>
        </w:rPr>
        <w:t xml:space="preserve">по сокращению производственного травматизма и профессиональных заболеваний работников и на санаторно-курортное лечение работников, занятых на работах с вредными и (или) опасными производственными факторами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</w:rPr>
      </w:pP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  <w:r>
        <w:rPr>
          <w:color w:val="000000" w:themeColor="text1"/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ind w:firstLine="709"/>
        <w:jc w:val="both"/>
        <w:rPr>
          <w:sz w:val="28"/>
        </w:rPr>
      </w:pPr>
      <w:r>
        <w:rPr>
          <w:sz w:val="28"/>
        </w:rPr>
      </w:r>
      <w:r>
        <w:rPr>
          <w:sz w:val="28"/>
        </w:rPr>
      </w:r>
      <w:r>
        <w:rPr>
          <w:sz w:val="28"/>
        </w:rPr>
      </w:r>
    </w:p>
    <w:p>
      <w:pPr>
        <w:tabs>
          <w:tab w:val="left" w:pos="0" w:leader="none"/>
        </w:tabs>
        <w:rPr>
          <w:sz w:val="28"/>
          <w:szCs w:val="28"/>
        </w:rPr>
      </w:pPr>
      <w:r>
        <w:rPr>
          <w:sz w:val="28"/>
          <w:szCs w:val="28"/>
        </w:rPr>
        <w:t xml:space="preserve">Координатор Комиссии</w:t>
      </w:r>
      <w:r>
        <w:rPr>
          <w:sz w:val="28"/>
          <w:szCs w:val="28"/>
        </w:rPr>
        <w:t xml:space="preserve">,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tabs>
          <w:tab w:val="left" w:pos="0" w:leader="none"/>
        </w:tabs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п</w:t>
      </w:r>
      <w:r>
        <w:rPr>
          <w:sz w:val="28"/>
          <w:szCs w:val="28"/>
          <w:lang w:eastAsia="en-US"/>
        </w:rPr>
        <w:t xml:space="preserve">ервый</w:t>
      </w:r>
      <w:r>
        <w:rPr>
          <w:sz w:val="28"/>
          <w:szCs w:val="28"/>
          <w:lang w:eastAsia="en-US"/>
        </w:rPr>
        <w:t xml:space="preserve"> заместитель Председателя</w:t>
      </w:r>
      <w:r>
        <w:rPr>
          <w:sz w:val="28"/>
          <w:szCs w:val="28"/>
          <w:lang w:eastAsia="en-US"/>
        </w:rPr>
      </w:r>
      <w:r>
        <w:rPr>
          <w:sz w:val="28"/>
          <w:szCs w:val="28"/>
          <w:lang w:eastAsia="en-US"/>
        </w:rPr>
      </w:r>
    </w:p>
    <w:p>
      <w:pPr>
        <w:rPr>
          <w:sz w:val="28"/>
          <w:szCs w:val="28"/>
          <w:highlight w:val="none"/>
          <w:lang w:eastAsia="en-US"/>
        </w:rPr>
      </w:pPr>
      <w:r>
        <w:rPr>
          <w:sz w:val="28"/>
          <w:szCs w:val="28"/>
          <w:lang w:eastAsia="en-US"/>
        </w:rPr>
        <w:t xml:space="preserve">Правительства Новосибирской области </w:t>
      </w:r>
      <w:r>
        <w:rPr>
          <w:sz w:val="28"/>
          <w:szCs w:val="28"/>
          <w:lang w:eastAsia="en-US"/>
        </w:rPr>
        <w:t xml:space="preserve">                                                  В.М. </w:t>
      </w:r>
      <w:r>
        <w:rPr>
          <w:sz w:val="28"/>
          <w:szCs w:val="28"/>
          <w:lang w:eastAsia="en-US"/>
        </w:rPr>
        <w:t xml:space="preserve">Знатков</w:t>
      </w:r>
      <w:r>
        <w:rPr>
          <w:sz w:val="28"/>
          <w:szCs w:val="28"/>
          <w:highlight w:val="none"/>
          <w:lang w:eastAsia="en-US"/>
        </w:rPr>
      </w:r>
      <w:r>
        <w:rPr>
          <w:sz w:val="28"/>
          <w:szCs w:val="28"/>
          <w:highlight w:val="none"/>
          <w:lang w:eastAsia="en-US"/>
        </w:rPr>
      </w:r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p>
      <w:r/>
      <w:r/>
    </w:p>
    <w:sectPr>
      <w:headerReference w:type="default" r:id="rId9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B0604020202020204"/>
  </w:font>
  <w:font w:name="Segoe UI">
    <w:panose1 w:val="020B0502040504020204"/>
  </w:font>
  <w:font w:name="Calibri">
    <w:panose1 w:val="020F0502020204030204"/>
  </w:font>
  <w:font w:name="font307">
    <w:panose1 w:val="02000603000000000000"/>
  </w:font>
  <w:font w:name="Calibri Light">
    <w:panose1 w:val="020F0502020204030204"/>
  </w:font>
  <w:font w:name="Lucida Sans Unicode">
    <w:panose1 w:val="020B060303080402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043780691"/>
      <w:docPartObj>
        <w:docPartGallery w:val="Page Numbers (Top of Page)"/>
        <w:docPartUnique w:val="true"/>
      </w:docPartObj>
      <w:rPr/>
    </w:sdtPr>
    <w:sdtContent>
      <w:p>
        <w:pPr>
          <w:pStyle w:val="876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 xml:space="preserve">3</w:t>
        </w:r>
        <w:r>
          <w:fldChar w:fldCharType="end"/>
        </w:r>
        <w:r/>
      </w:p>
    </w:sdtContent>
  </w:sdt>
  <w:p>
    <w:pPr>
      <w:pStyle w:val="876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3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0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0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87">
    <w:name w:val="Heading 1 Char"/>
    <w:basedOn w:val="862"/>
    <w:link w:val="853"/>
    <w:uiPriority w:val="9"/>
    <w:rPr>
      <w:rFonts w:ascii="Arial" w:hAnsi="Arial" w:eastAsia="Arial" w:cs="Arial"/>
      <w:sz w:val="40"/>
      <w:szCs w:val="40"/>
    </w:rPr>
  </w:style>
  <w:style w:type="character" w:styleId="688">
    <w:name w:val="Heading 2 Char"/>
    <w:basedOn w:val="862"/>
    <w:link w:val="854"/>
    <w:uiPriority w:val="9"/>
    <w:rPr>
      <w:rFonts w:ascii="Arial" w:hAnsi="Arial" w:eastAsia="Arial" w:cs="Arial"/>
      <w:sz w:val="34"/>
    </w:rPr>
  </w:style>
  <w:style w:type="character" w:styleId="689">
    <w:name w:val="Heading 3 Char"/>
    <w:basedOn w:val="862"/>
    <w:link w:val="855"/>
    <w:uiPriority w:val="9"/>
    <w:rPr>
      <w:rFonts w:ascii="Arial" w:hAnsi="Arial" w:eastAsia="Arial" w:cs="Arial"/>
      <w:sz w:val="30"/>
      <w:szCs w:val="30"/>
    </w:rPr>
  </w:style>
  <w:style w:type="character" w:styleId="690">
    <w:name w:val="Heading 4 Char"/>
    <w:basedOn w:val="862"/>
    <w:link w:val="856"/>
    <w:uiPriority w:val="9"/>
    <w:rPr>
      <w:rFonts w:ascii="Arial" w:hAnsi="Arial" w:eastAsia="Arial" w:cs="Arial"/>
      <w:b/>
      <w:bCs/>
      <w:sz w:val="26"/>
      <w:szCs w:val="26"/>
    </w:rPr>
  </w:style>
  <w:style w:type="character" w:styleId="691">
    <w:name w:val="Heading 5 Char"/>
    <w:basedOn w:val="862"/>
    <w:link w:val="857"/>
    <w:uiPriority w:val="9"/>
    <w:rPr>
      <w:rFonts w:ascii="Arial" w:hAnsi="Arial" w:eastAsia="Arial" w:cs="Arial"/>
      <w:b/>
      <w:bCs/>
      <w:sz w:val="24"/>
      <w:szCs w:val="24"/>
    </w:rPr>
  </w:style>
  <w:style w:type="character" w:styleId="692">
    <w:name w:val="Heading 6 Char"/>
    <w:basedOn w:val="862"/>
    <w:link w:val="858"/>
    <w:uiPriority w:val="9"/>
    <w:rPr>
      <w:rFonts w:ascii="Arial" w:hAnsi="Arial" w:eastAsia="Arial" w:cs="Arial"/>
      <w:b/>
      <w:bCs/>
      <w:sz w:val="22"/>
      <w:szCs w:val="22"/>
    </w:rPr>
  </w:style>
  <w:style w:type="character" w:styleId="693">
    <w:name w:val="Heading 7 Char"/>
    <w:basedOn w:val="862"/>
    <w:link w:val="859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694">
    <w:name w:val="Heading 8 Char"/>
    <w:basedOn w:val="862"/>
    <w:link w:val="860"/>
    <w:uiPriority w:val="9"/>
    <w:rPr>
      <w:rFonts w:ascii="Arial" w:hAnsi="Arial" w:eastAsia="Arial" w:cs="Arial"/>
      <w:i/>
      <w:iCs/>
      <w:sz w:val="22"/>
      <w:szCs w:val="22"/>
    </w:rPr>
  </w:style>
  <w:style w:type="character" w:styleId="695">
    <w:name w:val="Heading 9 Char"/>
    <w:basedOn w:val="862"/>
    <w:link w:val="861"/>
    <w:uiPriority w:val="9"/>
    <w:rPr>
      <w:rFonts w:ascii="Arial" w:hAnsi="Arial" w:eastAsia="Arial" w:cs="Arial"/>
      <w:i/>
      <w:iCs/>
      <w:sz w:val="21"/>
      <w:szCs w:val="21"/>
    </w:rPr>
  </w:style>
  <w:style w:type="paragraph" w:styleId="696">
    <w:name w:val="No Spacing"/>
    <w:uiPriority w:val="1"/>
    <w:qFormat/>
    <w:pPr>
      <w:spacing w:before="0" w:after="0" w:line="240" w:lineRule="auto"/>
    </w:pPr>
  </w:style>
  <w:style w:type="paragraph" w:styleId="697">
    <w:name w:val="Title"/>
    <w:basedOn w:val="852"/>
    <w:next w:val="852"/>
    <w:link w:val="698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98">
    <w:name w:val="Title Char"/>
    <w:basedOn w:val="862"/>
    <w:link w:val="697"/>
    <w:uiPriority w:val="10"/>
    <w:rPr>
      <w:sz w:val="48"/>
      <w:szCs w:val="48"/>
    </w:rPr>
  </w:style>
  <w:style w:type="paragraph" w:styleId="699">
    <w:name w:val="Subtitle"/>
    <w:basedOn w:val="852"/>
    <w:next w:val="852"/>
    <w:link w:val="700"/>
    <w:uiPriority w:val="11"/>
    <w:qFormat/>
    <w:pPr>
      <w:spacing w:before="200" w:after="200"/>
    </w:pPr>
    <w:rPr>
      <w:sz w:val="24"/>
      <w:szCs w:val="24"/>
    </w:rPr>
  </w:style>
  <w:style w:type="character" w:styleId="700">
    <w:name w:val="Subtitle Char"/>
    <w:basedOn w:val="862"/>
    <w:link w:val="699"/>
    <w:uiPriority w:val="11"/>
    <w:rPr>
      <w:sz w:val="24"/>
      <w:szCs w:val="24"/>
    </w:rPr>
  </w:style>
  <w:style w:type="paragraph" w:styleId="701">
    <w:name w:val="Quote"/>
    <w:basedOn w:val="852"/>
    <w:next w:val="852"/>
    <w:link w:val="702"/>
    <w:uiPriority w:val="29"/>
    <w:qFormat/>
    <w:pPr>
      <w:ind w:left="720" w:right="720"/>
    </w:pPr>
    <w:rPr>
      <w:i/>
    </w:rPr>
  </w:style>
  <w:style w:type="character" w:styleId="702">
    <w:name w:val="Quote Char"/>
    <w:link w:val="701"/>
    <w:uiPriority w:val="29"/>
    <w:rPr>
      <w:i/>
    </w:rPr>
  </w:style>
  <w:style w:type="paragraph" w:styleId="703">
    <w:name w:val="Intense Quote"/>
    <w:basedOn w:val="852"/>
    <w:next w:val="852"/>
    <w:link w:val="704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04">
    <w:name w:val="Intense Quote Char"/>
    <w:link w:val="703"/>
    <w:uiPriority w:val="30"/>
    <w:rPr>
      <w:i/>
    </w:rPr>
  </w:style>
  <w:style w:type="character" w:styleId="705">
    <w:name w:val="Header Char"/>
    <w:basedOn w:val="862"/>
    <w:link w:val="876"/>
    <w:uiPriority w:val="99"/>
  </w:style>
  <w:style w:type="character" w:styleId="706">
    <w:name w:val="Footer Char"/>
    <w:basedOn w:val="862"/>
    <w:link w:val="878"/>
    <w:uiPriority w:val="99"/>
  </w:style>
  <w:style w:type="paragraph" w:styleId="707">
    <w:name w:val="Caption"/>
    <w:basedOn w:val="852"/>
    <w:next w:val="85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8">
    <w:name w:val="Caption Char"/>
    <w:basedOn w:val="707"/>
    <w:link w:val="878"/>
    <w:uiPriority w:val="99"/>
  </w:style>
  <w:style w:type="table" w:styleId="709">
    <w:name w:val="Table Grid Light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10">
    <w:name w:val="Plain Table 1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1">
    <w:name w:val="Plain Table 2"/>
    <w:basedOn w:val="86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2">
    <w:name w:val="Plain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3">
    <w:name w:val="Plain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Plain Table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5">
    <w:name w:val="Grid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1">
    <w:name w:val="Grid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2">
    <w:name w:val="Grid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Grid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7">
    <w:name w:val="Grid Table 4 - Accent 1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8">
    <w:name w:val="Grid Table 4 - Accent 2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9">
    <w:name w:val="Grid Table 4 - Accent 3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40">
    <w:name w:val="Grid Table 4 - Accent 4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41">
    <w:name w:val="Grid Table 4 - Accent 5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2">
    <w:name w:val="Grid Table 4 - Accent 6"/>
    <w:basedOn w:val="86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3">
    <w:name w:val="Grid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4">
    <w:name w:val="Grid Table 5 Dark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45">
    <w:name w:val="Grid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47">
    <w:name w:val="Grid Table 5 Dark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48">
    <w:name w:val="Grid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49">
    <w:name w:val="Grid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50">
    <w:name w:val="Grid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51">
    <w:name w:val="Grid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2">
    <w:name w:val="Grid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3">
    <w:name w:val="Grid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4">
    <w:name w:val="Grid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5">
    <w:name w:val="Grid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6">
    <w:name w:val="Grid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7">
    <w:name w:val="Grid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1 Light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List Table 1 Light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List Table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2">
    <w:name w:val="List Table 2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3">
    <w:name w:val="List Table 2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4">
    <w:name w:val="List Table 2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5">
    <w:name w:val="List Table 2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6">
    <w:name w:val="List Table 2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7">
    <w:name w:val="List Table 2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8">
    <w:name w:val="List Table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3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3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4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1">
    <w:name w:val="List Table 4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2">
    <w:name w:val="List Table 5 Dark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5 Dark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8">
    <w:name w:val="List Table 5 Dark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9">
    <w:name w:val="List Table 6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00">
    <w:name w:val="List Table 6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01">
    <w:name w:val="List Table 6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2">
    <w:name w:val="List Table 6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3">
    <w:name w:val="List Table 6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4">
    <w:name w:val="List Table 6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5">
    <w:name w:val="List Table 6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6">
    <w:name w:val="List Table 7 Colorful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7">
    <w:name w:val="List Table 7 Colorful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808">
    <w:name w:val="List Table 7 Colorful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809">
    <w:name w:val="List Table 7 Colorful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810">
    <w:name w:val="List Table 7 Colorful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811">
    <w:name w:val="List Table 7 Colorful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812">
    <w:name w:val="List Table 7 Colorful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813">
    <w:name w:val="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4">
    <w:name w:val="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15">
    <w:name w:val="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16">
    <w:name w:val="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17">
    <w:name w:val="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18">
    <w:name w:val="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19">
    <w:name w:val="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0">
    <w:name w:val="Bordered &amp; Lined - Accent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21">
    <w:name w:val="Bordered &amp; Lined - Accent 1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22">
    <w:name w:val="Bordered &amp; Lined - Accent 2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23">
    <w:name w:val="Bordered &amp; Lined - Accent 3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24">
    <w:name w:val="Bordered &amp; Lined - Accent 4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25">
    <w:name w:val="Bordered &amp; Lined - Accent 5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26">
    <w:name w:val="Bordered &amp; Lined - Accent 6"/>
    <w:basedOn w:val="86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27">
    <w:name w:val="Bordered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8">
    <w:name w:val="Bordered - Accent 1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9">
    <w:name w:val="Bordered - Accent 2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30">
    <w:name w:val="Bordered - Accent 3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31">
    <w:name w:val="Bordered - Accent 4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2">
    <w:name w:val="Bordered - Accent 5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3">
    <w:name w:val="Bordered - Accent 6"/>
    <w:basedOn w:val="86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4">
    <w:name w:val="Hyperlink"/>
    <w:uiPriority w:val="99"/>
    <w:unhideWhenUsed/>
    <w:rPr>
      <w:color w:val="0000ff" w:themeColor="hyperlink"/>
      <w:u w:val="single"/>
    </w:rPr>
  </w:style>
  <w:style w:type="paragraph" w:styleId="835">
    <w:name w:val="footnote text"/>
    <w:basedOn w:val="852"/>
    <w:link w:val="836"/>
    <w:uiPriority w:val="99"/>
    <w:semiHidden/>
    <w:unhideWhenUsed/>
    <w:pPr>
      <w:spacing w:after="40" w:line="240" w:lineRule="auto"/>
    </w:pPr>
    <w:rPr>
      <w:sz w:val="18"/>
    </w:rPr>
  </w:style>
  <w:style w:type="character" w:styleId="836">
    <w:name w:val="Footnote Text Char"/>
    <w:link w:val="835"/>
    <w:uiPriority w:val="99"/>
    <w:rPr>
      <w:sz w:val="18"/>
    </w:rPr>
  </w:style>
  <w:style w:type="character" w:styleId="837">
    <w:name w:val="footnote reference"/>
    <w:basedOn w:val="862"/>
    <w:uiPriority w:val="99"/>
    <w:unhideWhenUsed/>
    <w:rPr>
      <w:vertAlign w:val="superscript"/>
    </w:rPr>
  </w:style>
  <w:style w:type="paragraph" w:styleId="838">
    <w:name w:val="endnote text"/>
    <w:basedOn w:val="852"/>
    <w:link w:val="839"/>
    <w:uiPriority w:val="99"/>
    <w:semiHidden/>
    <w:unhideWhenUsed/>
    <w:pPr>
      <w:spacing w:after="0" w:line="240" w:lineRule="auto"/>
    </w:pPr>
    <w:rPr>
      <w:sz w:val="20"/>
    </w:rPr>
  </w:style>
  <w:style w:type="character" w:styleId="839">
    <w:name w:val="Endnote Text Char"/>
    <w:link w:val="838"/>
    <w:uiPriority w:val="99"/>
    <w:rPr>
      <w:sz w:val="20"/>
    </w:rPr>
  </w:style>
  <w:style w:type="character" w:styleId="840">
    <w:name w:val="endnote reference"/>
    <w:basedOn w:val="862"/>
    <w:uiPriority w:val="99"/>
    <w:semiHidden/>
    <w:unhideWhenUsed/>
    <w:rPr>
      <w:vertAlign w:val="superscript"/>
    </w:rPr>
  </w:style>
  <w:style w:type="paragraph" w:styleId="841">
    <w:name w:val="toc 1"/>
    <w:basedOn w:val="852"/>
    <w:next w:val="852"/>
    <w:uiPriority w:val="39"/>
    <w:unhideWhenUsed/>
    <w:pPr>
      <w:ind w:left="0" w:right="0" w:firstLine="0"/>
      <w:spacing w:after="57"/>
    </w:pPr>
  </w:style>
  <w:style w:type="paragraph" w:styleId="842">
    <w:name w:val="toc 2"/>
    <w:basedOn w:val="852"/>
    <w:next w:val="852"/>
    <w:uiPriority w:val="39"/>
    <w:unhideWhenUsed/>
    <w:pPr>
      <w:ind w:left="283" w:right="0" w:firstLine="0"/>
      <w:spacing w:after="57"/>
    </w:pPr>
  </w:style>
  <w:style w:type="paragraph" w:styleId="843">
    <w:name w:val="toc 3"/>
    <w:basedOn w:val="852"/>
    <w:next w:val="852"/>
    <w:uiPriority w:val="39"/>
    <w:unhideWhenUsed/>
    <w:pPr>
      <w:ind w:left="567" w:right="0" w:firstLine="0"/>
      <w:spacing w:after="57"/>
    </w:pPr>
  </w:style>
  <w:style w:type="paragraph" w:styleId="844">
    <w:name w:val="toc 4"/>
    <w:basedOn w:val="852"/>
    <w:next w:val="852"/>
    <w:uiPriority w:val="39"/>
    <w:unhideWhenUsed/>
    <w:pPr>
      <w:ind w:left="850" w:right="0" w:firstLine="0"/>
      <w:spacing w:after="57"/>
    </w:pPr>
  </w:style>
  <w:style w:type="paragraph" w:styleId="845">
    <w:name w:val="toc 5"/>
    <w:basedOn w:val="852"/>
    <w:next w:val="852"/>
    <w:uiPriority w:val="39"/>
    <w:unhideWhenUsed/>
    <w:pPr>
      <w:ind w:left="1134" w:right="0" w:firstLine="0"/>
      <w:spacing w:after="57"/>
    </w:pPr>
  </w:style>
  <w:style w:type="paragraph" w:styleId="846">
    <w:name w:val="toc 6"/>
    <w:basedOn w:val="852"/>
    <w:next w:val="852"/>
    <w:uiPriority w:val="39"/>
    <w:unhideWhenUsed/>
    <w:pPr>
      <w:ind w:left="1417" w:right="0" w:firstLine="0"/>
      <w:spacing w:after="57"/>
    </w:pPr>
  </w:style>
  <w:style w:type="paragraph" w:styleId="847">
    <w:name w:val="toc 7"/>
    <w:basedOn w:val="852"/>
    <w:next w:val="852"/>
    <w:uiPriority w:val="39"/>
    <w:unhideWhenUsed/>
    <w:pPr>
      <w:ind w:left="1701" w:right="0" w:firstLine="0"/>
      <w:spacing w:after="57"/>
    </w:pPr>
  </w:style>
  <w:style w:type="paragraph" w:styleId="848">
    <w:name w:val="toc 8"/>
    <w:basedOn w:val="852"/>
    <w:next w:val="852"/>
    <w:uiPriority w:val="39"/>
    <w:unhideWhenUsed/>
    <w:pPr>
      <w:ind w:left="1984" w:right="0" w:firstLine="0"/>
      <w:spacing w:after="57"/>
    </w:pPr>
  </w:style>
  <w:style w:type="paragraph" w:styleId="849">
    <w:name w:val="toc 9"/>
    <w:basedOn w:val="852"/>
    <w:next w:val="852"/>
    <w:uiPriority w:val="39"/>
    <w:unhideWhenUsed/>
    <w:pPr>
      <w:ind w:left="2268" w:right="0" w:firstLine="0"/>
      <w:spacing w:after="57"/>
    </w:pPr>
  </w:style>
  <w:style w:type="paragraph" w:styleId="850">
    <w:name w:val="TOC Heading"/>
    <w:uiPriority w:val="39"/>
    <w:unhideWhenUsed/>
  </w:style>
  <w:style w:type="paragraph" w:styleId="851">
    <w:name w:val="table of figures"/>
    <w:basedOn w:val="852"/>
    <w:next w:val="852"/>
    <w:uiPriority w:val="99"/>
    <w:unhideWhenUsed/>
    <w:pPr>
      <w:spacing w:after="0" w:afterAutospacing="0"/>
    </w:pPr>
  </w:style>
  <w:style w:type="paragraph" w:styleId="852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53">
    <w:name w:val="Heading 1"/>
    <w:basedOn w:val="852"/>
    <w:next w:val="852"/>
    <w:link w:val="865"/>
    <w:qFormat/>
    <w:pPr>
      <w:jc w:val="both"/>
      <w:keepNext/>
      <w:outlineLvl w:val="0"/>
    </w:pPr>
    <w:rPr>
      <w:color w:val="000000"/>
      <w:sz w:val="28"/>
    </w:rPr>
  </w:style>
  <w:style w:type="paragraph" w:styleId="854">
    <w:name w:val="Heading 2"/>
    <w:basedOn w:val="852"/>
    <w:next w:val="868"/>
    <w:link w:val="882"/>
    <w:qFormat/>
    <w:pPr>
      <w:ind w:left="576" w:hanging="576"/>
      <w:jc w:val="right"/>
      <w:keepNext/>
      <w:spacing w:line="100" w:lineRule="atLeast"/>
      <w:widowControl w:val="off"/>
      <w:tabs>
        <w:tab w:val="num" w:pos="0" w:leader="none"/>
        <w:tab w:val="left" w:pos="576" w:leader="none"/>
      </w:tabs>
      <w:outlineLvl w:val="1"/>
    </w:pPr>
    <w:rPr>
      <w:rFonts w:ascii="Arial" w:hAnsi="Arial" w:eastAsia="Lucida Sans Unicode" w:cs="Arial"/>
      <w:lang w:eastAsia="ar-SA"/>
    </w:rPr>
  </w:style>
  <w:style w:type="paragraph" w:styleId="855">
    <w:name w:val="Heading 3"/>
    <w:basedOn w:val="852"/>
    <w:next w:val="868"/>
    <w:link w:val="883"/>
    <w:qFormat/>
    <w:pPr>
      <w:ind w:left="720" w:hanging="720"/>
      <w:keepNext/>
      <w:spacing w:before="240" w:after="60" w:line="100" w:lineRule="atLeast"/>
      <w:tabs>
        <w:tab w:val="num" w:pos="0" w:leader="none"/>
      </w:tabs>
      <w:outlineLvl w:val="2"/>
    </w:pPr>
    <w:rPr>
      <w:rFonts w:ascii="Calibri Light" w:hAnsi="Calibri Light" w:cs="font307"/>
      <w:b/>
      <w:bCs/>
      <w:sz w:val="26"/>
      <w:szCs w:val="26"/>
      <w:lang w:eastAsia="ar-SA"/>
    </w:rPr>
  </w:style>
  <w:style w:type="paragraph" w:styleId="856">
    <w:name w:val="Heading 4"/>
    <w:basedOn w:val="852"/>
    <w:next w:val="868"/>
    <w:link w:val="884"/>
    <w:qFormat/>
    <w:pPr>
      <w:ind w:left="864" w:hanging="864"/>
      <w:keepNext/>
      <w:spacing w:before="240" w:after="60" w:line="100" w:lineRule="atLeast"/>
      <w:tabs>
        <w:tab w:val="num" w:pos="0" w:leader="none"/>
      </w:tabs>
      <w:outlineLvl w:val="3"/>
    </w:pPr>
    <w:rPr>
      <w:rFonts w:ascii="Calibri" w:hAnsi="Calibri" w:cs="font307"/>
      <w:b/>
      <w:bCs/>
      <w:sz w:val="28"/>
      <w:szCs w:val="28"/>
      <w:lang w:eastAsia="ar-SA"/>
    </w:rPr>
  </w:style>
  <w:style w:type="paragraph" w:styleId="857">
    <w:name w:val="Heading 5"/>
    <w:basedOn w:val="852"/>
    <w:next w:val="868"/>
    <w:link w:val="885"/>
    <w:qFormat/>
    <w:pPr>
      <w:ind w:left="1008" w:hanging="1008"/>
      <w:spacing w:before="240" w:after="60" w:line="100" w:lineRule="atLeast"/>
      <w:tabs>
        <w:tab w:val="num" w:pos="0" w:leader="none"/>
      </w:tabs>
      <w:outlineLvl w:val="4"/>
    </w:pPr>
    <w:rPr>
      <w:rFonts w:ascii="Calibri" w:hAnsi="Calibri" w:cs="font307"/>
      <w:b/>
      <w:bCs/>
      <w:i/>
      <w:iCs/>
      <w:sz w:val="26"/>
      <w:szCs w:val="26"/>
      <w:lang w:eastAsia="ar-SA"/>
    </w:rPr>
  </w:style>
  <w:style w:type="paragraph" w:styleId="858">
    <w:name w:val="Heading 6"/>
    <w:basedOn w:val="852"/>
    <w:next w:val="868"/>
    <w:link w:val="886"/>
    <w:qFormat/>
    <w:pPr>
      <w:ind w:left="1152" w:hanging="1152"/>
      <w:spacing w:before="240" w:after="60" w:line="100" w:lineRule="atLeast"/>
      <w:tabs>
        <w:tab w:val="num" w:pos="0" w:leader="none"/>
      </w:tabs>
      <w:outlineLvl w:val="5"/>
    </w:pPr>
    <w:rPr>
      <w:rFonts w:ascii="Calibri" w:hAnsi="Calibri" w:cs="font307"/>
      <w:b/>
      <w:bCs/>
      <w:sz w:val="22"/>
      <w:szCs w:val="22"/>
      <w:lang w:eastAsia="ar-SA"/>
    </w:rPr>
  </w:style>
  <w:style w:type="paragraph" w:styleId="859">
    <w:name w:val="Heading 7"/>
    <w:basedOn w:val="852"/>
    <w:next w:val="868"/>
    <w:link w:val="887"/>
    <w:qFormat/>
    <w:pPr>
      <w:ind w:left="1296" w:hanging="1296"/>
      <w:spacing w:before="240" w:after="60" w:line="100" w:lineRule="atLeast"/>
      <w:tabs>
        <w:tab w:val="num" w:pos="0" w:leader="none"/>
      </w:tabs>
      <w:outlineLvl w:val="6"/>
    </w:pPr>
    <w:rPr>
      <w:rFonts w:ascii="Calibri" w:hAnsi="Calibri" w:cs="font307"/>
      <w:sz w:val="24"/>
      <w:szCs w:val="24"/>
      <w:lang w:eastAsia="ar-SA"/>
    </w:rPr>
  </w:style>
  <w:style w:type="paragraph" w:styleId="860">
    <w:name w:val="Heading 8"/>
    <w:basedOn w:val="852"/>
    <w:next w:val="868"/>
    <w:link w:val="888"/>
    <w:qFormat/>
    <w:pPr>
      <w:ind w:left="1440" w:hanging="1440"/>
      <w:spacing w:before="240" w:after="60" w:line="100" w:lineRule="atLeast"/>
      <w:tabs>
        <w:tab w:val="num" w:pos="0" w:leader="none"/>
      </w:tabs>
      <w:outlineLvl w:val="7"/>
    </w:pPr>
    <w:rPr>
      <w:rFonts w:ascii="Calibri" w:hAnsi="Calibri" w:cs="font307"/>
      <w:i/>
      <w:iCs/>
      <w:sz w:val="24"/>
      <w:szCs w:val="24"/>
      <w:lang w:eastAsia="ar-SA"/>
    </w:rPr>
  </w:style>
  <w:style w:type="paragraph" w:styleId="861">
    <w:name w:val="Heading 9"/>
    <w:basedOn w:val="852"/>
    <w:next w:val="868"/>
    <w:link w:val="889"/>
    <w:qFormat/>
    <w:pPr>
      <w:ind w:left="1584" w:hanging="1584"/>
      <w:spacing w:before="240" w:after="60" w:line="100" w:lineRule="atLeast"/>
      <w:tabs>
        <w:tab w:val="num" w:pos="0" w:leader="none"/>
      </w:tabs>
      <w:outlineLvl w:val="8"/>
    </w:pPr>
    <w:rPr>
      <w:rFonts w:ascii="Calibri Light" w:hAnsi="Calibri Light" w:cs="font307"/>
      <w:sz w:val="22"/>
      <w:szCs w:val="22"/>
      <w:lang w:eastAsia="ar-SA"/>
    </w:rPr>
  </w:style>
  <w:style w:type="character" w:styleId="862" w:default="1">
    <w:name w:val="Default Paragraph Font"/>
    <w:uiPriority w:val="1"/>
    <w:semiHidden/>
    <w:unhideWhenUsed/>
  </w:style>
  <w:style w:type="table" w:styleId="86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64" w:default="1">
    <w:name w:val="No List"/>
    <w:uiPriority w:val="99"/>
    <w:semiHidden/>
    <w:unhideWhenUsed/>
  </w:style>
  <w:style w:type="character" w:styleId="865" w:customStyle="1">
    <w:name w:val="Заголовок 1 Знак"/>
    <w:basedOn w:val="862"/>
    <w:link w:val="853"/>
    <w:rPr>
      <w:rFonts w:ascii="Times New Roman" w:hAnsi="Times New Roman" w:eastAsia="Times New Roman" w:cs="Times New Roman"/>
      <w:color w:val="000000"/>
      <w:sz w:val="28"/>
      <w:szCs w:val="20"/>
      <w:lang w:eastAsia="ru-RU"/>
    </w:rPr>
  </w:style>
  <w:style w:type="paragraph" w:styleId="866">
    <w:name w:val="Body Text 2"/>
    <w:basedOn w:val="852"/>
    <w:link w:val="867"/>
    <w:pPr>
      <w:jc w:val="center"/>
    </w:pPr>
    <w:rPr>
      <w:sz w:val="28"/>
    </w:rPr>
  </w:style>
  <w:style w:type="character" w:styleId="867" w:customStyle="1">
    <w:name w:val="Основной текст 2 Знак"/>
    <w:basedOn w:val="862"/>
    <w:link w:val="866"/>
    <w:rPr>
      <w:rFonts w:ascii="Times New Roman" w:hAnsi="Times New Roman" w:eastAsia="Times New Roman" w:cs="Times New Roman"/>
      <w:sz w:val="28"/>
      <w:szCs w:val="20"/>
    </w:rPr>
  </w:style>
  <w:style w:type="paragraph" w:styleId="868">
    <w:name w:val="Body Text"/>
    <w:basedOn w:val="852"/>
    <w:link w:val="869"/>
    <w:uiPriority w:val="99"/>
    <w:unhideWhenUsed/>
    <w:pPr>
      <w:spacing w:after="120"/>
    </w:pPr>
  </w:style>
  <w:style w:type="character" w:styleId="869" w:customStyle="1">
    <w:name w:val="Основной текст Знак"/>
    <w:basedOn w:val="862"/>
    <w:link w:val="86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0">
    <w:name w:val="Body Text Indent"/>
    <w:basedOn w:val="852"/>
    <w:link w:val="871"/>
    <w:uiPriority w:val="99"/>
    <w:semiHidden/>
    <w:unhideWhenUsed/>
    <w:pPr>
      <w:ind w:left="283"/>
      <w:spacing w:after="120"/>
    </w:pPr>
  </w:style>
  <w:style w:type="character" w:styleId="871" w:customStyle="1">
    <w:name w:val="Основной текст с отступом Знак"/>
    <w:basedOn w:val="862"/>
    <w:link w:val="870"/>
    <w:uiPriority w:val="99"/>
    <w:semiHidden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2">
    <w:name w:val="Balloon Text"/>
    <w:basedOn w:val="852"/>
    <w:link w:val="873"/>
    <w:uiPriority w:val="99"/>
    <w:semiHidden/>
    <w:unhideWhenUsed/>
    <w:rPr>
      <w:rFonts w:ascii="Segoe UI" w:hAnsi="Segoe UI" w:cs="Segoe UI"/>
      <w:sz w:val="18"/>
      <w:szCs w:val="18"/>
    </w:rPr>
  </w:style>
  <w:style w:type="character" w:styleId="873" w:customStyle="1">
    <w:name w:val="Текст выноски Знак"/>
    <w:basedOn w:val="862"/>
    <w:link w:val="872"/>
    <w:uiPriority w:val="99"/>
    <w:semiHidden/>
    <w:rPr>
      <w:rFonts w:ascii="Segoe UI" w:hAnsi="Segoe UI" w:eastAsia="Times New Roman" w:cs="Segoe UI"/>
      <w:sz w:val="18"/>
      <w:szCs w:val="18"/>
      <w:lang w:eastAsia="ru-RU"/>
    </w:rPr>
  </w:style>
  <w:style w:type="paragraph" w:styleId="874" w:customStyle="1">
    <w:name w:val="Знак"/>
    <w:basedOn w:val="852"/>
    <w:pPr>
      <w:ind w:left="26"/>
      <w:spacing w:after="160" w:line="240" w:lineRule="exact"/>
    </w:pPr>
    <w:rPr>
      <w:sz w:val="24"/>
      <w:szCs w:val="24"/>
      <w:lang w:val="en-US" w:eastAsia="en-US"/>
    </w:rPr>
  </w:style>
  <w:style w:type="paragraph" w:styleId="875">
    <w:name w:val="List Paragraph"/>
    <w:basedOn w:val="852"/>
    <w:uiPriority w:val="34"/>
    <w:qFormat/>
    <w:pPr>
      <w:contextualSpacing/>
      <w:ind w:left="720"/>
    </w:pPr>
  </w:style>
  <w:style w:type="paragraph" w:styleId="876">
    <w:name w:val="Header"/>
    <w:basedOn w:val="852"/>
    <w:link w:val="877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7" w:customStyle="1">
    <w:name w:val="Верхний колонтитул Знак"/>
    <w:basedOn w:val="862"/>
    <w:link w:val="876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78">
    <w:name w:val="Footer"/>
    <w:basedOn w:val="852"/>
    <w:link w:val="879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79" w:customStyle="1">
    <w:name w:val="Нижний колонтитул Знак"/>
    <w:basedOn w:val="862"/>
    <w:link w:val="878"/>
    <w:uiPriority w:val="99"/>
    <w:rPr>
      <w:rFonts w:ascii="Times New Roman" w:hAnsi="Times New Roman" w:eastAsia="Times New Roman" w:cs="Times New Roman"/>
      <w:sz w:val="20"/>
      <w:szCs w:val="20"/>
      <w:lang w:eastAsia="ru-RU"/>
    </w:rPr>
  </w:style>
  <w:style w:type="paragraph" w:styleId="880" w:customStyle="1">
    <w:name w:val="ConsPlusNormal"/>
    <w:pPr>
      <w:spacing w:after="0" w:line="240" w:lineRule="auto"/>
      <w:widowControl w:val="off"/>
    </w:pPr>
    <w:rPr>
      <w:rFonts w:ascii="Arial" w:hAnsi="Arial" w:cs="Arial" w:eastAsiaTheme="minorEastAsia"/>
      <w:sz w:val="20"/>
      <w:lang w:eastAsia="ru-RU"/>
    </w:rPr>
  </w:style>
  <w:style w:type="paragraph" w:styleId="881">
    <w:name w:val="Normal (Web)"/>
    <w:basedOn w:val="852"/>
    <w:uiPriority w:val="99"/>
    <w:pPr>
      <w:spacing w:before="100" w:after="100"/>
    </w:pPr>
    <w:rPr>
      <w:sz w:val="24"/>
      <w:szCs w:val="24"/>
      <w:lang w:eastAsia="ar-SA"/>
    </w:rPr>
  </w:style>
  <w:style w:type="character" w:styleId="882" w:customStyle="1">
    <w:name w:val="Заголовок 2 Знак"/>
    <w:basedOn w:val="862"/>
    <w:link w:val="854"/>
    <w:rPr>
      <w:rFonts w:ascii="Arial" w:hAnsi="Arial" w:eastAsia="Lucida Sans Unicode" w:cs="Arial"/>
      <w:sz w:val="20"/>
      <w:szCs w:val="20"/>
      <w:lang w:eastAsia="ar-SA"/>
    </w:rPr>
  </w:style>
  <w:style w:type="character" w:styleId="883" w:customStyle="1">
    <w:name w:val="Заголовок 3 Знак"/>
    <w:basedOn w:val="862"/>
    <w:link w:val="855"/>
    <w:rPr>
      <w:rFonts w:ascii="Calibri Light" w:hAnsi="Calibri Light" w:eastAsia="Times New Roman" w:cs="font307"/>
      <w:b/>
      <w:bCs/>
      <w:sz w:val="26"/>
      <w:szCs w:val="26"/>
      <w:lang w:eastAsia="ar-SA"/>
    </w:rPr>
  </w:style>
  <w:style w:type="character" w:styleId="884" w:customStyle="1">
    <w:name w:val="Заголовок 4 Знак"/>
    <w:basedOn w:val="862"/>
    <w:link w:val="856"/>
    <w:rPr>
      <w:rFonts w:ascii="Calibri" w:hAnsi="Calibri" w:eastAsia="Times New Roman" w:cs="font307"/>
      <w:b/>
      <w:bCs/>
      <w:sz w:val="28"/>
      <w:szCs w:val="28"/>
      <w:lang w:eastAsia="ar-SA"/>
    </w:rPr>
  </w:style>
  <w:style w:type="character" w:styleId="885" w:customStyle="1">
    <w:name w:val="Заголовок 5 Знак"/>
    <w:basedOn w:val="862"/>
    <w:link w:val="857"/>
    <w:rPr>
      <w:rFonts w:ascii="Calibri" w:hAnsi="Calibri" w:eastAsia="Times New Roman" w:cs="font307"/>
      <w:b/>
      <w:bCs/>
      <w:i/>
      <w:iCs/>
      <w:sz w:val="26"/>
      <w:szCs w:val="26"/>
      <w:lang w:eastAsia="ar-SA"/>
    </w:rPr>
  </w:style>
  <w:style w:type="character" w:styleId="886" w:customStyle="1">
    <w:name w:val="Заголовок 6 Знак"/>
    <w:basedOn w:val="862"/>
    <w:link w:val="858"/>
    <w:rPr>
      <w:rFonts w:ascii="Calibri" w:hAnsi="Calibri" w:eastAsia="Times New Roman" w:cs="font307"/>
      <w:b/>
      <w:bCs/>
      <w:lang w:eastAsia="ar-SA"/>
    </w:rPr>
  </w:style>
  <w:style w:type="character" w:styleId="887" w:customStyle="1">
    <w:name w:val="Заголовок 7 Знак"/>
    <w:basedOn w:val="862"/>
    <w:link w:val="859"/>
    <w:rPr>
      <w:rFonts w:ascii="Calibri" w:hAnsi="Calibri" w:eastAsia="Times New Roman" w:cs="font307"/>
      <w:sz w:val="24"/>
      <w:szCs w:val="24"/>
      <w:lang w:eastAsia="ar-SA"/>
    </w:rPr>
  </w:style>
  <w:style w:type="character" w:styleId="888" w:customStyle="1">
    <w:name w:val="Заголовок 8 Знак"/>
    <w:basedOn w:val="862"/>
    <w:link w:val="860"/>
    <w:rPr>
      <w:rFonts w:ascii="Calibri" w:hAnsi="Calibri" w:eastAsia="Times New Roman" w:cs="font307"/>
      <w:i/>
      <w:iCs/>
      <w:sz w:val="24"/>
      <w:szCs w:val="24"/>
      <w:lang w:eastAsia="ar-SA"/>
    </w:rPr>
  </w:style>
  <w:style w:type="character" w:styleId="889" w:customStyle="1">
    <w:name w:val="Заголовок 9 Знак"/>
    <w:basedOn w:val="862"/>
    <w:link w:val="861"/>
    <w:rPr>
      <w:rFonts w:ascii="Calibri Light" w:hAnsi="Calibri Light" w:eastAsia="Times New Roman" w:cs="font307"/>
      <w:lang w:eastAsia="ar-SA"/>
    </w:rPr>
  </w:style>
  <w:style w:type="table" w:styleId="890">
    <w:name w:val="Table Grid"/>
    <w:basedOn w:val="863"/>
    <w:uiPriority w:val="3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НСО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Петухова Светлана Анатольевна</dc:creator>
  <cp:revision>17</cp:revision>
  <dcterms:created xsi:type="dcterms:W3CDTF">2025-02-11T02:18:00Z</dcterms:created>
  <dcterms:modified xsi:type="dcterms:W3CDTF">2025-03-06T03:09:03Z</dcterms:modified>
</cp:coreProperties>
</file>