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Next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</w:t>
      </w:r>
      <w:r>
        <w:rPr>
          <w:b/>
          <w:bCs/>
          <w:sz w:val="28"/>
          <w:szCs w:val="28"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</w:t>
      </w:r>
      <w:r>
        <w:rPr>
          <w:b/>
          <w:sz w:val="28"/>
          <w:szCs w:val="28"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b/>
          <w:sz w:val="28"/>
          <w:szCs w:val="28"/>
        </w:rPr>
      </w:r>
    </w:p>
    <w:p>
      <w:pPr>
        <w:jc w:val="center"/>
        <w:keepNext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02.10.2024 </w:t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4/3</w:t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>
        <w:tblPrEx/>
        <w:trPr/>
        <w:tc>
          <w:tcPr>
            <w:tcW w:w="6771" w:type="dxa"/>
            <w:textDirection w:val="lrTb"/>
            <w:noWrap w:val="false"/>
          </w:tcPr>
          <w:p>
            <w:pPr>
              <w:jc w:val="both"/>
              <w:keepNext/>
              <w:widowControl w:val="off"/>
            </w:pPr>
            <w:r>
              <w:rPr>
                <w:sz w:val="28"/>
                <w:szCs w:val="20"/>
              </w:rPr>
              <w:t xml:space="preserve">О выполнении в 1 полугодии 2024</w:t>
            </w:r>
            <w:r>
              <w:rPr>
                <w:sz w:val="28"/>
                <w:szCs w:val="20"/>
              </w:rPr>
              <w:t xml:space="preserve"> года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 2023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0"/>
              </w:rPr>
              <w:t xml:space="preserve">2025 годы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сторон Новосибирской областной трехсторонней комиссии по р</w:t>
      </w:r>
      <w:r>
        <w:rPr>
          <w:sz w:val="28"/>
          <w:szCs w:val="28"/>
        </w:rPr>
        <w:t xml:space="preserve">егулированию социально-трудовых отношений (далее – Комиссия) обменялись информацией о выполнении в 1 полугодии 2024 года взятых на себя обязательств Регионального соглашения между областным объединением организаций профсоюзов, областными объединениями рабо</w:t>
      </w:r>
      <w:r>
        <w:rPr>
          <w:sz w:val="28"/>
          <w:szCs w:val="28"/>
        </w:rPr>
        <w:t xml:space="preserve">тодателей и Правительством Новосибирской области на 2023–2025 годы (далее – Региональное соглашение). Комиссия отмечает, что в целом обязательства </w:t>
      </w:r>
      <w:r>
        <w:rPr>
          <w:sz w:val="28"/>
          <w:szCs w:val="28"/>
        </w:rPr>
        <w:t xml:space="preserve">сторонами</w:t>
      </w:r>
      <w:r>
        <w:rPr>
          <w:sz w:val="28"/>
          <w:szCs w:val="28"/>
        </w:rPr>
        <w:t xml:space="preserve"> выполняются.</w:t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1 полугодии 2024 года по сравнению с 1 полугодием 2023 года отмечается рост </w:t>
      </w:r>
      <w:bookmarkStart w:id="0" w:name="_GoBack"/>
      <w:r/>
      <w:bookmarkEnd w:id="0"/>
      <w:r>
        <w:rPr>
          <w:sz w:val="28"/>
          <w:szCs w:val="28"/>
        </w:rPr>
        <w:t xml:space="preserve">объема </w:t>
      </w:r>
      <w:r>
        <w:rPr>
          <w:sz w:val="28"/>
          <w:szCs w:val="28"/>
        </w:rPr>
        <w:t xml:space="preserve">промышленного производства на 4,2%, строительных работ – на 35,9%, увеличение оборота розничной торговли – на 12,5%, общественного питания – на 9,7%. По состоянию на 1 июля 2024 года уровень официальной безработицы снизился до 0,6% (на 1 июля 2023 года был</w:t>
      </w:r>
      <w:r>
        <w:rPr>
          <w:sz w:val="28"/>
          <w:szCs w:val="28"/>
        </w:rPr>
        <w:t xml:space="preserve"> 0,9%). Содействие в поиске подходящей работы оказано 18,9 тыс. человек, в подборе необходимых работников – 7,4 тыс. работодателей. Трудоустроено 12,5 тыс. человек, в том числе 5,3 тыс. граждан, испытывающих трудности в поиске работы. Профессиональное обуч</w:t>
      </w:r>
      <w:r>
        <w:rPr>
          <w:sz w:val="28"/>
          <w:szCs w:val="28"/>
        </w:rPr>
        <w:t xml:space="preserve">ение востребованным на рынке труда профессиям прошли 1,6 тыс. безработных. Открыли собственное дело 1,2 тыс. безработных граждан, в том числе в рамках социального контракта более 750 человек.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rFonts w:eastAsia="Calibri"/>
          <w:sz w:val="28"/>
          <w:szCs w:val="28"/>
        </w:rPr>
        <w:t xml:space="preserve">В январе-июне 2024 года среднемесячная номинальная начисленная з</w:t>
      </w:r>
      <w:r>
        <w:rPr>
          <w:rFonts w:eastAsia="Calibri"/>
          <w:sz w:val="28"/>
          <w:szCs w:val="28"/>
        </w:rPr>
        <w:t xml:space="preserve">аработная плата работников организаций Новосибирской области составила 71168,4 рубля, </w:t>
      </w:r>
      <w:r>
        <w:rPr>
          <w:sz w:val="28"/>
          <w:szCs w:val="28"/>
        </w:rPr>
        <w:t xml:space="preserve">увеличившись по сравнению с январем-июнем 2023 года на 18,9%. Индекс реальной начисленной заработной платы составил за этот период 109,4%. </w:t>
      </w:r>
      <w:r>
        <w:rPr>
          <w:rFonts w:eastAsia="Calibri"/>
          <w:sz w:val="28"/>
          <w:szCs w:val="28"/>
        </w:rPr>
        <w:t xml:space="preserve">Рост среднемесячной номинальной</w:t>
      </w:r>
      <w:r>
        <w:rPr>
          <w:rFonts w:eastAsia="Calibri"/>
          <w:sz w:val="28"/>
          <w:szCs w:val="28"/>
        </w:rPr>
        <w:t xml:space="preserve"> начисленной заработной платы зафиксирован во всех видах экономической деятельности.</w:t>
      </w:r>
      <w:r>
        <w:t xml:space="preserve">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принятых мер </w:t>
      </w:r>
      <w:r>
        <w:rPr>
          <w:sz w:val="28"/>
          <w:szCs w:val="28"/>
        </w:rPr>
        <w:t xml:space="preserve">по ликвидации задолженности по заработной плате организациями-должниками выплачено 273,1 млн рублей задержанной работникам заработной платы. Лег</w:t>
      </w:r>
      <w:r>
        <w:rPr>
          <w:sz w:val="28"/>
          <w:szCs w:val="28"/>
        </w:rPr>
        <w:t xml:space="preserve">ализованы трудовые отношения с 5363 </w:t>
      </w:r>
      <w:r>
        <w:rPr>
          <w:sz w:val="28"/>
          <w:szCs w:val="28"/>
        </w:rPr>
        <w:t xml:space="preserve">работниками. Специальная оценка условий труда проведена на 555 тыс. рабочих мест, что соответствует 80% всех рабочих мест организаций Новосибирской области, прошли обучение по охране труда 19 тыс. работников организаций </w:t>
      </w:r>
      <w:r>
        <w:rPr>
          <w:sz w:val="28"/>
          <w:szCs w:val="28"/>
        </w:rPr>
        <w:t xml:space="preserve">Новосибирской области, в том числе 4 тыс. руководителей.</w:t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Создание условий для роста благосостояния граждан, снижения уровня бедности населения региона, повышения доступности социального обслуживания достигалось посредством реализации мер социальной поддерж</w:t>
      </w:r>
      <w:r>
        <w:rPr>
          <w:rFonts w:eastAsia="Calibri"/>
          <w:sz w:val="28"/>
          <w:szCs w:val="28"/>
        </w:rPr>
        <w:t xml:space="preserve">ки и развития социальной сферы. Общая численность граждан, получивших социальные выплаты, пособия и компенсации в 1 полугодии 2024 года, составила более 692 тыс. человек. На предоставление 118 мер социальной поддержки из федерального бюджета Российской Фед</w:t>
      </w:r>
      <w:r>
        <w:rPr>
          <w:rFonts w:eastAsia="Calibri"/>
          <w:sz w:val="28"/>
          <w:szCs w:val="28"/>
        </w:rPr>
        <w:t xml:space="preserve">ерации и областного бюджета Новосибирской области направлено более 18 млрд рублей. </w:t>
      </w:r>
      <w:r>
        <w:rPr>
          <w:bCs/>
          <w:i/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государственной программы «Развитие государственной молодежной политики Новосибирской области» проведено более 100 мероприятий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профориентационной</w:t>
      </w:r>
      <w:r>
        <w:rPr>
          <w:color w:val="000000" w:themeColor="text1"/>
          <w:sz w:val="28"/>
          <w:szCs w:val="28"/>
        </w:rPr>
        <w:t xml:space="preserve">, образ</w:t>
      </w:r>
      <w:r>
        <w:rPr>
          <w:color w:val="000000" w:themeColor="text1"/>
          <w:sz w:val="28"/>
          <w:szCs w:val="28"/>
        </w:rPr>
        <w:t xml:space="preserve">овательной, патриотической, спортивно-оздоровительной и просветительской направленности</w:t>
      </w:r>
      <w:r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том числе с участием молодежных советов профсоюзных организаций.</w:t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Продолжалась работа по дальнейшему развитию коллективно-договорного регулирования на территории Ново</w:t>
      </w:r>
      <w:r>
        <w:rPr>
          <w:rFonts w:eastAsia="Calibri"/>
          <w:sz w:val="28"/>
          <w:szCs w:val="28"/>
        </w:rPr>
        <w:t xml:space="preserve">сибирской области. В 1 полугодии 2024 года действовали 12 региональных отраслевых соглашений, 34 территориальных соглашения, 97 территориальных отраслевых соглашений, 5072 зарегистрированных коллективных договора. Коллективно-договорными отношениями охваче</w:t>
      </w:r>
      <w:r>
        <w:rPr>
          <w:rFonts w:eastAsia="Calibri"/>
          <w:sz w:val="28"/>
          <w:szCs w:val="28"/>
        </w:rPr>
        <w:t xml:space="preserve">но 77% работников крупных и средних организаций Новосибирской области. По данным областных исполнительных органов Новосибирской области в 384 из 429 подведомственных государственных учреждений заключены коллективные договоры (90%), в том числе в 2024 году </w:t>
      </w:r>
      <w:r>
        <w:rPr>
          <w:rFonts w:eastAsia="Calibri"/>
          <w:sz w:val="28"/>
          <w:szCs w:val="28"/>
        </w:rPr>
        <w:t xml:space="preserve">– 63 новых коллективных договора и 10 дополнительных соглашений к действующим коллективным договорам. В 13 учреждениях ведется соответствующая работа. Органами по труду администраций муниципальных районов и городских округов Новосибирской области осуществл</w:t>
      </w:r>
      <w:r>
        <w:rPr>
          <w:rFonts w:eastAsia="Calibri"/>
          <w:sz w:val="28"/>
          <w:szCs w:val="28"/>
        </w:rPr>
        <w:t xml:space="preserve">ен контроль за выполнением более 180 коллективных договоров </w:t>
      </w:r>
      <w:r>
        <w:rPr>
          <w:rFonts w:eastAsia="Calibri"/>
          <w:color w:val="000000" w:themeColor="text1"/>
          <w:sz w:val="28"/>
          <w:szCs w:val="28"/>
        </w:rPr>
        <w:t xml:space="preserve">и соглашений, оказана методическая и практическая помощь по их заключению. </w:t>
      </w:r>
      <w:r>
        <w:rPr>
          <w:color w:val="000000" w:themeColor="text1"/>
          <w:sz w:val="28"/>
          <w:szCs w:val="28"/>
        </w:rPr>
        <w:t xml:space="preserve">Общественным контролем Новосибирского областного союза организаций профсоюзов «Федерация профсоюзов Новосибирской области</w:t>
      </w:r>
      <w:r>
        <w:rPr>
          <w:color w:val="000000" w:themeColor="text1"/>
          <w:sz w:val="28"/>
          <w:szCs w:val="28"/>
        </w:rPr>
        <w:t xml:space="preserve">» охвачено 28 организаций по вопросам соблюдения требований трудового законодательства Российской Федерации, </w:t>
      </w:r>
      <w:r>
        <w:rPr>
          <w:bCs/>
          <w:color w:val="000000" w:themeColor="text1"/>
          <w:sz w:val="28"/>
          <w:szCs w:val="28"/>
        </w:rPr>
        <w:t xml:space="preserve">выявлено более 500 нарушений, из них устранено более 80%.</w:t>
      </w:r>
      <w:r>
        <w:rPr>
          <w:bCs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рамках проекта «Кадровая среда» проведены </w:t>
      </w:r>
      <w:r>
        <w:rPr>
          <w:rFonts w:eastAsia="Calibri"/>
          <w:color w:val="000000" w:themeColor="text1"/>
          <w:sz w:val="28"/>
          <w:szCs w:val="28"/>
        </w:rPr>
        <w:t xml:space="preserve">вебинары</w:t>
      </w:r>
      <w:r>
        <w:rPr>
          <w:rFonts w:eastAsia="Calibri"/>
          <w:color w:val="000000" w:themeColor="text1"/>
          <w:sz w:val="28"/>
          <w:szCs w:val="28"/>
        </w:rPr>
        <w:t xml:space="preserve"> по вопросам применения трудового законодательства в органах местного самоуправления, в которых приняли участие 387 муниципальных служащих. </w:t>
      </w:r>
      <w:r>
        <w:rPr>
          <w:color w:val="000000" w:themeColor="text1"/>
          <w:sz w:val="28"/>
          <w:szCs w:val="28"/>
        </w:rPr>
        <w:t xml:space="preserve">Новосибирским областным союзом организаций профсоюзов «Федерация профсоюзов Новосибирской области» проведены встречи</w:t>
      </w:r>
      <w:r>
        <w:rPr>
          <w:color w:val="000000" w:themeColor="text1"/>
          <w:sz w:val="28"/>
          <w:szCs w:val="28"/>
        </w:rPr>
        <w:t xml:space="preserve"> с профсоюзным активом </w:t>
      </w:r>
      <w:r>
        <w:rPr>
          <w:color w:val="000000" w:themeColor="text1"/>
          <w:sz w:val="28"/>
          <w:szCs w:val="28"/>
        </w:rPr>
        <w:t xml:space="preserve">Искитимского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Маслянинского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Черепановского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Чулымского</w:t>
      </w:r>
      <w:r>
        <w:rPr>
          <w:color w:val="000000" w:themeColor="text1"/>
          <w:sz w:val="28"/>
          <w:szCs w:val="28"/>
        </w:rPr>
        <w:t xml:space="preserve"> районов Новосибирской области по вопросам реализации Регионального соглашения, развития социального партнерства и проектной деятельности.</w:t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исполнение пункта 17 Плана мероприя</w:t>
      </w:r>
      <w:r>
        <w:rPr>
          <w:rFonts w:eastAsia="Calibri"/>
          <w:sz w:val="28"/>
          <w:szCs w:val="28"/>
        </w:rPr>
        <w:t xml:space="preserve">тий </w:t>
      </w:r>
      <w:r>
        <w:rPr>
          <w:sz w:val="28"/>
          <w:szCs w:val="28"/>
        </w:rPr>
        <w:t xml:space="preserve">(дорожной карты) развития системы социального партнерства на муниципальном уровне на 2023–2025 годы разработаны критерии оценки развития социального партнерства на муниципальном уровне.</w:t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решила: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1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Информацию о выполнении в 1 полугодии 2024 год</w:t>
      </w:r>
      <w:r>
        <w:rPr>
          <w:sz w:val="28"/>
          <w:szCs w:val="28"/>
        </w:rPr>
        <w:t xml:space="preserve">а Регионального соглашения принять к сведению.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Сторонам социального партнерства продолжить выполнение взятых обязательств Регионального соглашения.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1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Областным исполнительным органам Новосибирской области совместно с Новосибирским областным союзом орга</w:t>
      </w:r>
      <w:r>
        <w:rPr>
          <w:sz w:val="28"/>
          <w:szCs w:val="28"/>
        </w:rPr>
        <w:t xml:space="preserve">низаций профсоюзов «Федерация профсоюзов Новосибирской области» продолжить работу по заключению коллективных договоров в подведомственных учреждениях.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1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rFonts w:eastAsia="Calibri"/>
          <w:sz w:val="28"/>
          <w:szCs w:val="28"/>
        </w:rPr>
        <w:t xml:space="preserve">В целях определения степени развития системы социального партнерства в муниципальных районах и городск</w:t>
      </w:r>
      <w:r>
        <w:rPr>
          <w:rFonts w:eastAsia="Calibri"/>
          <w:sz w:val="28"/>
          <w:szCs w:val="28"/>
        </w:rPr>
        <w:t xml:space="preserve">их округах Новосибирской области, эффективности ее функционирования, усиления мотивации и ответственности сторон социального партнерства</w:t>
      </w:r>
      <w:r>
        <w:rPr>
          <w:sz w:val="28"/>
          <w:szCs w:val="28"/>
        </w:rPr>
        <w:t xml:space="preserve"> утвердить критерии оценки развития социального партнерства на муниципальном уровне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611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Рекомендовать главам муниципальн</w:t>
      </w:r>
      <w:r>
        <w:rPr>
          <w:sz w:val="28"/>
          <w:szCs w:val="28"/>
        </w:rPr>
        <w:t xml:space="preserve">ых районов и городских округов Новосибирской области организовать работу по внедрению критериев оценки развития социального партнерства на муниципальном уровне.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2"/>
        <w:gridCol w:w="4929"/>
      </w:tblGrid>
      <w:tr>
        <w:tblPrEx/>
        <w:trPr/>
        <w:tc>
          <w:tcPr>
            <w:tcW w:w="5102" w:type="dxa"/>
            <w:textDirection w:val="lrTb"/>
            <w:noWrap w:val="false"/>
          </w:tcPr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Комиссии, 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</w:t>
            </w:r>
            <w:r>
              <w:rPr>
                <w:sz w:val="28"/>
                <w:szCs w:val="28"/>
                <w:lang w:eastAsia="en-US"/>
              </w:rPr>
              <w:t xml:space="preserve"> заместитель Председателя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keepNext/>
              <w:widowControl w:val="off"/>
              <w:tabs>
                <w:tab w:val="left" w:pos="0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92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right"/>
              <w:keepNext/>
              <w:widowControl w:val="off"/>
            </w:pPr>
            <w:r>
              <w:rPr>
                <w:sz w:val="28"/>
                <w:szCs w:val="28"/>
                <w:lang w:eastAsia="en-US"/>
              </w:rPr>
              <w:t xml:space="preserve">В.М. </w:t>
            </w:r>
            <w:r>
              <w:rPr>
                <w:sz w:val="28"/>
                <w:szCs w:val="28"/>
                <w:lang w:eastAsia="en-US"/>
              </w:rPr>
              <w:t xml:space="preserve">Знатков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</w:tbl>
    <w:p>
      <w:pPr>
        <w:keepNext/>
        <w:widowControl w:val="off"/>
        <w:tabs>
          <w:tab w:val="left" w:pos="0" w:leader="none"/>
        </w:tabs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keepNext/>
        <w:widowControl w:val="off"/>
        <w:tabs>
          <w:tab w:val="left" w:pos="0" w:leader="none"/>
        </w:tabs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418" w:header="482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pPr>
      <w:pStyle w:val="87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71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1" w:default="1">
    <w:name w:val="Normal"/>
    <w:qFormat/>
    <w:rPr>
      <w:rFonts w:ascii="Times New Roman" w:hAnsi="Times New Roman" w:eastAsia="Times New Roman"/>
      <w:sz w:val="24"/>
      <w:szCs w:val="24"/>
      <w:lang w:eastAsia="ru-RU" w:bidi="ar-SA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Title Char"/>
    <w:basedOn w:val="672"/>
    <w:uiPriority w:val="10"/>
    <w:rPr>
      <w:sz w:val="48"/>
      <w:szCs w:val="48"/>
    </w:rPr>
  </w:style>
  <w:style w:type="character" w:styleId="676" w:customStyle="1">
    <w:name w:val="Subtitle Char"/>
    <w:basedOn w:val="672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paragraph" w:styleId="681" w:customStyle="1">
    <w:name w:val="Заголовок 1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 w:customStyle="1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 w:customStyle="1">
    <w:name w:val="Заголовок 21"/>
    <w:basedOn w:val="671"/>
    <w:next w:val="67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 w:customStyle="1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 w:customStyle="1">
    <w:name w:val="Заголовок 31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 w:customStyle="1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 w:customStyle="1">
    <w:name w:val="Заголовок 41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90" w:customStyle="1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Заголовок 61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 w:customStyle="1">
    <w:name w:val="Заголовок 71"/>
    <w:basedOn w:val="671"/>
    <w:next w:val="67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 w:customStyle="1">
    <w:name w:val="Заголовок 81"/>
    <w:basedOn w:val="671"/>
    <w:next w:val="67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 w:customStyle="1">
    <w:name w:val="Заголовок 91"/>
    <w:basedOn w:val="671"/>
    <w:next w:val="67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1"/>
    <w:uiPriority w:val="34"/>
    <w:qFormat/>
    <w:pPr>
      <w:contextualSpacing/>
      <w:ind w:left="720"/>
    </w:pPr>
  </w:style>
  <w:style w:type="paragraph" w:styleId="700">
    <w:name w:val="No Spacing"/>
    <w:uiPriority w:val="1"/>
    <w:qFormat/>
  </w:style>
  <w:style w:type="paragraph" w:styleId="701">
    <w:name w:val="Title"/>
    <w:basedOn w:val="671"/>
    <w:next w:val="671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link w:val="701"/>
    <w:uiPriority w:val="10"/>
    <w:rPr>
      <w:sz w:val="48"/>
      <w:szCs w:val="48"/>
    </w:rPr>
  </w:style>
  <w:style w:type="paragraph" w:styleId="703">
    <w:name w:val="Subtitle"/>
    <w:basedOn w:val="671"/>
    <w:next w:val="671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1"/>
    <w:next w:val="671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1"/>
    <w:next w:val="671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link w:val="870"/>
    <w:uiPriority w:val="99"/>
  </w:style>
  <w:style w:type="character" w:styleId="710" w:customStyle="1">
    <w:name w:val="Footer Char"/>
    <w:uiPriority w:val="99"/>
  </w:style>
  <w:style w:type="character" w:styleId="711" w:customStyle="1">
    <w:name w:val="Caption Char"/>
    <w:link w:val="871"/>
    <w:uiPriority w:val="99"/>
  </w:style>
  <w:style w:type="table" w:styleId="71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1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671"/>
    <w:link w:val="843"/>
    <w:uiPriority w:val="99"/>
    <w:semiHidden/>
    <w:unhideWhenUsed/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71"/>
    <w:next w:val="671"/>
    <w:uiPriority w:val="39"/>
    <w:unhideWhenUsed/>
    <w:pPr>
      <w:spacing w:after="57"/>
    </w:pPr>
  </w:style>
  <w:style w:type="paragraph" w:styleId="846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7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8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9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50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51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52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3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1"/>
    <w:next w:val="671"/>
    <w:uiPriority w:val="99"/>
    <w:unhideWhenUsed/>
  </w:style>
  <w:style w:type="character" w:styleId="856" w:customStyle="1">
    <w:name w:val="Текст выноски Знак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57" w:customStyle="1">
    <w:name w:val="Основной текст с отступом 2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58" w:customStyle="1">
    <w:name w:val="Верхний колонтитул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Нижний колонтитул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Основной текст с отступом 3 Знак"/>
    <w:qFormat/>
    <w:rPr>
      <w:rFonts w:ascii="Times New Roman" w:hAnsi="Times New Roman" w:eastAsia="Times New Roman"/>
      <w:sz w:val="16"/>
      <w:szCs w:val="16"/>
    </w:rPr>
  </w:style>
  <w:style w:type="character" w:styleId="861" w:customStyle="1">
    <w:name w:val="Основной текст Знак"/>
    <w:qFormat/>
    <w:rPr>
      <w:rFonts w:ascii="Times New Roman" w:hAnsi="Times New Roman" w:eastAsia="Times New Roman"/>
    </w:rPr>
  </w:style>
  <w:style w:type="paragraph" w:styleId="862" w:customStyle="1">
    <w:name w:val="Заголовок"/>
    <w:basedOn w:val="671"/>
    <w:next w:val="86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3">
    <w:name w:val="Body Text"/>
    <w:basedOn w:val="671"/>
    <w:pPr>
      <w:spacing w:after="120"/>
    </w:pPr>
    <w:rPr>
      <w:sz w:val="20"/>
      <w:szCs w:val="20"/>
    </w:rPr>
  </w:style>
  <w:style w:type="paragraph" w:styleId="864">
    <w:name w:val="List"/>
    <w:basedOn w:val="863"/>
    <w:rPr>
      <w:rFonts w:cs="Droid Sans Devanagari"/>
    </w:rPr>
  </w:style>
  <w:style w:type="paragraph" w:styleId="865" w:customStyle="1">
    <w:name w:val="Название объекта1"/>
    <w:basedOn w:val="671"/>
    <w:qFormat/>
    <w:pPr>
      <w:spacing w:before="120" w:after="120"/>
      <w:suppressLineNumbers/>
    </w:pPr>
    <w:rPr>
      <w:rFonts w:cs="Droid Sans Devanagari"/>
      <w:i/>
      <w:iCs/>
    </w:rPr>
  </w:style>
  <w:style w:type="paragraph" w:styleId="866">
    <w:name w:val="index heading"/>
    <w:basedOn w:val="671"/>
    <w:qFormat/>
    <w:pPr>
      <w:suppressLineNumbers/>
    </w:pPr>
    <w:rPr>
      <w:rFonts w:cs="Droid Sans Devanagari"/>
    </w:rPr>
  </w:style>
  <w:style w:type="paragraph" w:styleId="867">
    <w:name w:val="Balloon Text"/>
    <w:basedOn w:val="671"/>
    <w:qFormat/>
    <w:rPr>
      <w:rFonts w:ascii="Tahoma" w:hAnsi="Tahoma" w:cs="Tahoma"/>
      <w:sz w:val="16"/>
      <w:szCs w:val="16"/>
    </w:rPr>
  </w:style>
  <w:style w:type="paragraph" w:styleId="868">
    <w:name w:val="Body Text Indent 2"/>
    <w:basedOn w:val="671"/>
    <w:qFormat/>
    <w:pPr>
      <w:ind w:firstLine="709"/>
      <w:jc w:val="both"/>
    </w:pPr>
    <w:rPr>
      <w:sz w:val="28"/>
      <w:szCs w:val="20"/>
    </w:rPr>
  </w:style>
  <w:style w:type="paragraph" w:styleId="869" w:customStyle="1">
    <w:name w:val="Верхний и нижний колонтитулы"/>
    <w:basedOn w:val="671"/>
    <w:qFormat/>
  </w:style>
  <w:style w:type="paragraph" w:styleId="870" w:customStyle="1">
    <w:name w:val="Верхний колонтитул1"/>
    <w:basedOn w:val="671"/>
    <w:link w:val="709"/>
    <w:pPr>
      <w:tabs>
        <w:tab w:val="center" w:pos="4677" w:leader="none"/>
        <w:tab w:val="right" w:pos="9355" w:leader="none"/>
      </w:tabs>
    </w:pPr>
  </w:style>
  <w:style w:type="paragraph" w:styleId="871" w:customStyle="1">
    <w:name w:val="Нижний колонтитул1"/>
    <w:basedOn w:val="671"/>
    <w:link w:val="711"/>
    <w:pPr>
      <w:tabs>
        <w:tab w:val="center" w:pos="4677" w:leader="none"/>
        <w:tab w:val="right" w:pos="9355" w:leader="none"/>
      </w:tabs>
    </w:pPr>
  </w:style>
  <w:style w:type="paragraph" w:styleId="872">
    <w:name w:val="Body Text Indent 3"/>
    <w:basedOn w:val="671"/>
    <w:qFormat/>
    <w:pPr>
      <w:ind w:left="283"/>
      <w:spacing w:after="120"/>
    </w:pPr>
    <w:rPr>
      <w:sz w:val="16"/>
      <w:szCs w:val="16"/>
    </w:rPr>
  </w:style>
  <w:style w:type="paragraph" w:styleId="873" w:customStyle="1">
    <w:name w:val="ConsNormal"/>
    <w:qFormat/>
    <w:pPr>
      <w:ind w:firstLine="720"/>
      <w:widowControl w:val="off"/>
    </w:pPr>
    <w:rPr>
      <w:rFonts w:ascii="Arial" w:hAnsi="Arial" w:eastAsia="Times New Roman"/>
      <w:lang w:eastAsia="ru-RU" w:bidi="ar-SA"/>
    </w:rPr>
  </w:style>
  <w:style w:type="paragraph" w:styleId="874" w:customStyle="1">
    <w:name w:val="Содержимое таблицы"/>
    <w:basedOn w:val="671"/>
    <w:qFormat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60C7-2BE4-432F-820D-CEC5C59E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dc:language>ru-RU</dc:language>
  <cp:revision>13</cp:revision>
  <dcterms:created xsi:type="dcterms:W3CDTF">2024-09-04T03:40:00Z</dcterms:created>
  <dcterms:modified xsi:type="dcterms:W3CDTF">2024-10-01T07:30:35Z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минтруд Новосибирской области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917504</vt:lpwstr>
  </property>
</Properties>
</file>