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keepNext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НОВОСИБИРСКАЯ ОБЛАСТНАЯ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keepNext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ТРЕХСТОРОННЯЯ КОМИССИЯ ПО РЕГУЛИРОВАНИЮ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keepNext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СОЦИАЛЬНО-ТРУДОВЫХ ОТНОШЕНИЙ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Next/>
        <w:widowControl w:val="off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keepNext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auto"/>
        <w:tblInd w:w="-142" w:type="dxa"/>
        <w:tblLayout w:type="fixed"/>
        <w:tblLook w:val="04A0" w:firstRow="1" w:lastRow="0" w:firstColumn="1" w:lastColumn="0" w:noHBand="0" w:noVBand="1"/>
      </w:tblPr>
      <w:tblGrid>
        <w:gridCol w:w="3379"/>
        <w:gridCol w:w="3379"/>
        <w:gridCol w:w="327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379" w:type="dxa"/>
            <w:textDirection w:val="lrTb"/>
            <w:noWrap w:val="false"/>
          </w:tcPr>
          <w:p>
            <w:pPr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05.03.2025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379" w:type="dxa"/>
            <w:textDirection w:val="lrTb"/>
            <w:noWrap w:val="false"/>
          </w:tcPr>
          <w:p>
            <w:pPr>
              <w:jc w:val="center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Новосибирск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71" w:type="dxa"/>
            <w:textDirection w:val="lrTb"/>
            <w:noWrap w:val="false"/>
          </w:tcPr>
          <w:p>
            <w:pPr>
              <w:jc w:val="right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1/2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0029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6771"/>
        <w:gridCol w:w="3258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771" w:type="dxa"/>
            <w:textDirection w:val="lrTb"/>
            <w:noWrap w:val="false"/>
          </w:tcPr>
          <w:p>
            <w:pPr>
              <w:jc w:val="both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0"/>
              </w:rPr>
              <w:t xml:space="preserve">О выполнении в 2024 году Регионального соглашения между областным объединением организаций </w:t>
            </w:r>
            <w:r>
              <w:rPr>
                <w:sz w:val="28"/>
                <w:szCs w:val="20"/>
              </w:rPr>
              <w:t xml:space="preserve">профсоюзов, областными объединениями работодателей и Правительством Новосибирской области на 2023–2025 годы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58" w:type="dxa"/>
            <w:textDirection w:val="lrTb"/>
            <w:noWrap w:val="false"/>
          </w:tcPr>
          <w:p>
            <w:pPr>
              <w:jc w:val="both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jc w:val="both"/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Рассмотрев итоги выполнения в 2024 году Регионального соглашения между областным объединением организаций профсоюзов, областными объединениями р</w:t>
      </w:r>
      <w:r>
        <w:rPr>
          <w:sz w:val="28"/>
          <w:szCs w:val="28"/>
        </w:rPr>
        <w:t xml:space="preserve">аботодателей и Правительством Новосибирской области на 2023–2025 годы (далее – Региональное соглашение)</w:t>
      </w:r>
      <w:r>
        <w:rPr>
          <w:sz w:val="28"/>
          <w:szCs w:val="28"/>
        </w:rPr>
        <w:t xml:space="preserve"> Новосибирская областная трехсторонняя комиссия по регулированию социально-трудовых отношений (далее – Комиссия) отмечает, что согласованные действия сторон социального партнерства способствовали сохранению позитивных тенденций в экономике Новосибирской об</w:t>
      </w:r>
      <w:r>
        <w:rPr>
          <w:sz w:val="28"/>
          <w:szCs w:val="28"/>
        </w:rPr>
        <w:t xml:space="preserve">ласти и социальной стабильности в обществе. </w:t>
      </w:r>
      <w:r>
        <w:rPr>
          <w:sz w:val="28"/>
          <w:szCs w:val="28"/>
        </w:rPr>
        <w:t xml:space="preserve">В результате реализации Стратегии социально-экономического развития Новосибирской области на период до 2030 года, 12 национальных проектов, 31 государственной программы Новосибирской област</w:t>
      </w:r>
      <w:r>
        <w:rPr>
          <w:sz w:val="28"/>
          <w:szCs w:val="28"/>
        </w:rPr>
        <w:t xml:space="preserve">и, принятия мер по созданию условий для привлечения инвестиций и стимулированию экономики, развитию транспортной инфраструктуры и энергетического комплекса, </w:t>
      </w:r>
      <w:r>
        <w:rPr>
          <w:sz w:val="28"/>
          <w:szCs w:val="28"/>
        </w:rPr>
        <w:t xml:space="preserve">рост объема промышленного производства за 2024 год составил 103,4%, обрабатывающих производств – 107,5%, объем строительных работ – 112,3%, оборот розничной торговли – 1</w:t>
      </w:r>
      <w:r>
        <w:rPr>
          <w:sz w:val="28"/>
          <w:szCs w:val="28"/>
        </w:rPr>
        <w:t xml:space="preserve">11,7%, общественного питания – 108,4%.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widowControl w:val="off"/>
        <w:rPr>
          <w:sz w:val="28"/>
          <w:szCs w:val="28"/>
          <w:highlight w:val="none"/>
        </w:rPr>
      </w:pPr>
      <w:r>
        <w:rPr>
          <w:sz w:val="28"/>
        </w:rPr>
        <w:t xml:space="preserve">Мероприятия по содействию занятости населения способствовали </w:t>
      </w:r>
      <w:r>
        <w:rPr>
          <w:sz w:val="28"/>
        </w:rPr>
        <w:t xml:space="preserve">снижению уровня официальной безработицы с 0,6% от численности рабочей силы на 1 января 2024 года до 0,4% на 1 января 2025 года.</w:t>
      </w:r>
      <w:r>
        <w:rPr>
          <w:sz w:val="28"/>
          <w:szCs w:val="28"/>
        </w:rPr>
        <w:t xml:space="preserve"> При содействии государственных казенных учреждений занятости населения Новосибирской области трудоустроено 71,9% обратившихся или 25,8 тыс. граждан, при этом каждый седьмой </w:t>
      </w:r>
      <w:r>
        <w:rPr>
          <w:sz w:val="28"/>
          <w:szCs w:val="28"/>
        </w:rPr>
        <w:t xml:space="preserve">был трудоустроен в десятидневный срок, то есть до признания безработным. 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white"/>
        </w:rPr>
        <w:t xml:space="preserve">ткрыли собственное дело </w:t>
      </w:r>
      <w:r>
        <w:rPr>
          <w:sz w:val="28"/>
          <w:szCs w:val="28"/>
        </w:rPr>
        <w:t xml:space="preserve">1,1 тыс. </w:t>
      </w:r>
      <w:r>
        <w:rPr>
          <w:sz w:val="28"/>
          <w:szCs w:val="28"/>
          <w:highlight w:val="white"/>
        </w:rPr>
        <w:t xml:space="preserve">безработных граждан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highlight w:val="white"/>
        </w:rPr>
        <w:t xml:space="preserve">154 человека получили финансовую помощь на осуществление предпринимательской деятельности</w:t>
      </w:r>
      <w:r>
        <w:rPr>
          <w:sz w:val="28"/>
          <w:szCs w:val="28"/>
          <w:highlight w:val="none"/>
        </w:rPr>
        <w:t xml:space="preserve">.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widowControl w:val="off"/>
        <w:rPr>
          <w:sz w:val="28"/>
          <w:szCs w:val="28"/>
          <w:highlight w:val="whit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В 2024 году оказано содействие в поиске подходящей работы 13 тыс. гражданам в возрасте 14-</w:t>
      </w:r>
      <w:r>
        <w:rPr>
          <w:sz w:val="28"/>
          <w:szCs w:val="28"/>
        </w:rPr>
        <w:t xml:space="preserve">35 лет, в том числе 439 выпускникам профессиональных образовательных организаций. </w:t>
      </w:r>
      <w:r>
        <w:rPr>
          <w:sz w:val="28"/>
          <w:highlight w:val="white"/>
        </w:rPr>
        <w:t xml:space="preserve">На профессиональное обучение востребованным на рынке труда профессиям направлено 736 безработных из числа граждан молодого возраста, единовременную помощь на организацию собственно</w:t>
      </w:r>
      <w:r>
        <w:rPr>
          <w:sz w:val="28"/>
          <w:highlight w:val="white"/>
        </w:rPr>
        <w:t xml:space="preserve">го дела </w:t>
      </w:r>
      <w:r>
        <w:rPr>
          <w:sz w:val="28"/>
          <w:highlight w:val="white"/>
        </w:rPr>
        <w:t xml:space="preserve">получили 66 человек</w:t>
      </w:r>
      <w:r>
        <w:rPr>
          <w:sz w:val="28"/>
          <w:highlight w:val="white"/>
        </w:rPr>
        <w:t xml:space="preserve"> в размере до 350 тыс. рублей.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С</w:t>
      </w:r>
      <w:r>
        <w:rPr>
          <w:sz w:val="28"/>
          <w:szCs w:val="28"/>
          <w:highlight w:val="white"/>
        </w:rPr>
        <w:t xml:space="preserve">амозанятых граждан </w:t>
      </w:r>
      <w:r>
        <w:rPr>
          <w:sz w:val="28"/>
          <w:szCs w:val="28"/>
          <w:highlight w:val="white"/>
        </w:rPr>
        <w:t xml:space="preserve">в Новосибирской области </w:t>
      </w:r>
      <w:r>
        <w:rPr>
          <w:sz w:val="28"/>
          <w:szCs w:val="28"/>
          <w:highlight w:val="white"/>
        </w:rPr>
        <w:t xml:space="preserve">зарегистрировано </w:t>
      </w:r>
      <w:r>
        <w:rPr>
          <w:sz w:val="28"/>
          <w:szCs w:val="28"/>
          <w:highlight w:val="white"/>
        </w:rPr>
        <w:t xml:space="preserve">252,7 тыс. человек, что превышает в 5,7 раза плановое значение.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widowControl w:val="o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</w:rPr>
        <w:t xml:space="preserve">Удалось не допустить массовых и незаконных сокращений работников. Каждый пятый работник, оказавшийся под угрозой сокращения, остался на своем рабочем месте (боле</w:t>
      </w:r>
      <w:r>
        <w:rPr>
          <w:sz w:val="28"/>
          <w:szCs w:val="28"/>
        </w:rPr>
        <w:t xml:space="preserve">е 780 человек). Услуги по содействию в поиске подходящей работы оказаны 18,8 тыс. гражданам, испытывающим трудности в поиске работы (инвалидам; </w:t>
      </w:r>
      <w:r>
        <w:rPr>
          <w:sz w:val="28"/>
          <w:szCs w:val="28"/>
        </w:rPr>
        <w:t xml:space="preserve">несовершеннолетним; одиноким и многодетным родителям, воспитывающим несовершеннолетних детей; лицам </w:t>
      </w:r>
      <w:r>
        <w:rPr>
          <w:sz w:val="28"/>
          <w:szCs w:val="28"/>
        </w:rPr>
        <w:t xml:space="preserve">предпенс</w:t>
      </w:r>
      <w:r>
        <w:rPr>
          <w:sz w:val="28"/>
          <w:szCs w:val="28"/>
        </w:rPr>
        <w:t xml:space="preserve">ионного</w:t>
      </w:r>
      <w:r>
        <w:rPr>
          <w:sz w:val="28"/>
          <w:szCs w:val="28"/>
        </w:rPr>
        <w:t xml:space="preserve"> возраста, беженцам и вынужденным переселенцам и др.), из них трудоустроено 10,4 тыс. граждан.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keepNext/>
        <w:widowControl w:val="off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Мероприятия, направленные на увеличение заработной платы работников организаций, способствовали росту с</w:t>
      </w:r>
      <w:r>
        <w:rPr>
          <w:rFonts w:eastAsia="Calibri"/>
          <w:sz w:val="28"/>
          <w:szCs w:val="28"/>
        </w:rPr>
        <w:t xml:space="preserve">уммарного объема среднедушевых денежных доходов населения Новосибирской области в январе-сентябре 2024 года на 18,3%</w:t>
      </w:r>
      <w:r>
        <w:rPr>
          <w:rFonts w:eastAsia="Calibri"/>
          <w:sz w:val="28"/>
          <w:szCs w:val="28"/>
        </w:rPr>
        <w:t xml:space="preserve"> (до 54024 рублей)</w:t>
      </w:r>
      <w:r>
        <w:rPr>
          <w:rFonts w:eastAsia="Calibri"/>
          <w:sz w:val="28"/>
          <w:szCs w:val="28"/>
        </w:rPr>
        <w:t xml:space="preserve"> по отношению к соответствующему периоду 2023 года.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Среднемесячная номинальная начисленная заработная плата работников организаций Новосибирской области  (далее – среднемесячная заработная плата) за январь-декабрь 2024 года</w:t>
      </w:r>
      <w:r>
        <w:rPr>
          <w:rFonts w:eastAsia="Calibri"/>
          <w:sz w:val="28"/>
          <w:szCs w:val="28"/>
        </w:rPr>
        <w:t xml:space="preserve"> увеличилась </w:t>
      </w:r>
      <w:r>
        <w:rPr>
          <w:rFonts w:eastAsia="Calibri"/>
          <w:sz w:val="28"/>
          <w:szCs w:val="28"/>
        </w:rPr>
        <w:t xml:space="preserve">на 18,0%</w:t>
      </w:r>
      <w:r>
        <w:rPr>
          <w:rFonts w:eastAsia="Calibri"/>
          <w:sz w:val="28"/>
          <w:szCs w:val="28"/>
        </w:rPr>
        <w:t xml:space="preserve"> и</w:t>
      </w:r>
      <w:r>
        <w:rPr>
          <w:rFonts w:eastAsia="Calibri"/>
          <w:sz w:val="28"/>
          <w:szCs w:val="28"/>
        </w:rPr>
        <w:t xml:space="preserve"> составила 75052,4 рубля. Индекс реальной начисленной заработной пл</w:t>
      </w:r>
      <w:r>
        <w:rPr>
          <w:rFonts w:eastAsia="Calibri"/>
          <w:sz w:val="28"/>
          <w:szCs w:val="28"/>
        </w:rPr>
        <w:t xml:space="preserve">аты  за указанный период </w:t>
      </w:r>
      <w:r>
        <w:rPr>
          <w:rFonts w:eastAsia="Calibri"/>
          <w:sz w:val="28"/>
          <w:szCs w:val="28"/>
        </w:rPr>
        <w:t xml:space="preserve">составил</w:t>
      </w:r>
      <w:r>
        <w:rPr>
          <w:rFonts w:eastAsia="Calibri"/>
          <w:sz w:val="28"/>
          <w:szCs w:val="28"/>
        </w:rPr>
        <w:t xml:space="preserve"> 108,3%. </w:t>
      </w:r>
      <w:r>
        <w:rPr>
          <w:rFonts w:eastAsia="Calibri"/>
          <w:sz w:val="28"/>
          <w:szCs w:val="28"/>
        </w:rPr>
        <w:t xml:space="preserve">Р</w:t>
      </w:r>
      <w:r>
        <w:rPr>
          <w:rFonts w:eastAsia="Calibri"/>
          <w:sz w:val="28"/>
          <w:szCs w:val="28"/>
        </w:rPr>
        <w:t xml:space="preserve">ост среднемесячной заработной платы зафиксирован во всех видах экономической деятельности, в том числе в отраслях социальной сферы. 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ind w:firstLine="720"/>
        <w:jc w:val="both"/>
        <w:rPr>
          <w:color w:val="auto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Системная работа по </w:t>
      </w:r>
      <w:r>
        <w:rPr>
          <w:sz w:val="28"/>
          <w:szCs w:val="28"/>
        </w:rPr>
        <w:t xml:space="preserve">ликвидации задолженности по выплате заработной платы работникам обеспечила выплату в 2024 году 436,8 </w:t>
      </w:r>
      <w:r>
        <w:rPr>
          <w:sz w:val="28"/>
          <w:szCs w:val="28"/>
        </w:rPr>
        <w:t xml:space="preserve">млн</w:t>
      </w:r>
      <w:r>
        <w:rPr>
          <w:sz w:val="28"/>
          <w:szCs w:val="28"/>
        </w:rPr>
        <w:t xml:space="preserve"> рублей задержанно</w:t>
      </w:r>
      <w:r>
        <w:rPr>
          <w:sz w:val="28"/>
          <w:szCs w:val="28"/>
        </w:rPr>
        <w:t xml:space="preserve">й заработной платы. Легализованы трудовые отношения</w:t>
      </w: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с 11683 работниками. 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20"/>
        <w:jc w:val="both"/>
        <w:rPr>
          <w:color w:val="000000" w:themeColor="text1"/>
        </w:rPr>
      </w:pPr>
      <w:r>
        <w:rPr>
          <w:rFonts w:eastAsia="Calibri"/>
          <w:sz w:val="28"/>
          <w:szCs w:val="28"/>
        </w:rPr>
        <w:t xml:space="preserve">Продолжалась реализация мероприятий по улучшению условий и охраны труда, направленных на сохранение жизни и здоровья работников в процессе трудовой деятельности. </w:t>
      </w:r>
      <w:r>
        <w:rPr>
          <w:rFonts w:eastAsia="Calibri"/>
          <w:sz w:val="28"/>
          <w:szCs w:val="28"/>
        </w:rPr>
        <w:t xml:space="preserve">Специальная оценка условий труда проведена на 680 тыс. рабоч</w:t>
      </w:r>
      <w:r>
        <w:rPr>
          <w:rFonts w:eastAsia="Calibri"/>
          <w:color w:val="000000" w:themeColor="text1"/>
          <w:sz w:val="28"/>
          <w:szCs w:val="28"/>
        </w:rPr>
        <w:t xml:space="preserve">их мест или более 80% всех рабочих мест организаций Новосибирской области. Прошли обучение по охране труда 34,7 тыс. работников, в том числе 6,9 тыс</w:t>
      </w:r>
      <w:r>
        <w:rPr>
          <w:rFonts w:eastAsia="Calibri"/>
          <w:color w:val="000000" w:themeColor="text1"/>
          <w:sz w:val="28"/>
          <w:szCs w:val="28"/>
        </w:rPr>
        <w:t xml:space="preserve">. руководителей, число обученных увеличилось на 4,2 тыс. человек.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highlight w:val="none"/>
        </w:rPr>
        <w:t xml:space="preserve">Осуществлялось исполнение </w:t>
      </w:r>
      <w:r>
        <w:rPr>
          <w:color w:val="000000" w:themeColor="text1"/>
          <w:sz w:val="28"/>
          <w:highlight w:val="none"/>
        </w:rPr>
        <w:t xml:space="preserve">мероприятий </w:t>
      </w:r>
      <w:r>
        <w:rPr>
          <w:color w:val="000000" w:themeColor="text1"/>
          <w:sz w:val="28"/>
          <w:highlight w:val="none"/>
        </w:rPr>
        <w:t xml:space="preserve">региональной программы</w:t>
      </w:r>
      <w:r>
        <w:rPr>
          <w:color w:val="000000" w:themeColor="text1"/>
          <w:sz w:val="28"/>
          <w:highlight w:val="none"/>
        </w:rPr>
        <w:t xml:space="preserve"> </w:t>
      </w:r>
      <w:r>
        <w:rPr>
          <w:color w:val="000000" w:themeColor="text1"/>
          <w:sz w:val="28"/>
          <w:highlight w:val="none"/>
        </w:rPr>
        <w:t xml:space="preserve">«Снижение доли населения с денежными доходами ниже границы бедности в Новосибирской области на период до 2030 года»</w:t>
      </w:r>
      <w:r>
        <w:rPr>
          <w:color w:val="000000" w:themeColor="text1"/>
          <w:sz w:val="28"/>
          <w:highlight w:val="none"/>
        </w:rPr>
        <w:t xml:space="preserve">, нацеленных на развитие системы социальной помощи </w:t>
      </w:r>
      <w:r>
        <w:rPr>
          <w:color w:val="000000" w:themeColor="text1"/>
          <w:sz w:val="28"/>
          <w:highlight w:val="none"/>
        </w:rPr>
        <w:t xml:space="preserve">и социального контракта, организацию социальной адаптации малоимущих граждан</w:t>
      </w:r>
      <w:r>
        <w:rPr>
          <w:color w:val="000000" w:themeColor="text1"/>
          <w:sz w:val="28"/>
          <w:highlight w:val="none"/>
        </w:rPr>
        <w:t xml:space="preserve">.</w:t>
      </w:r>
      <w:r>
        <w:rPr>
          <w:color w:val="000000" w:themeColor="text1"/>
          <w:sz w:val="28"/>
          <w:highlight w:val="none"/>
        </w:rPr>
        <w:t xml:space="preserve"> </w:t>
      </w:r>
      <w:r>
        <w:rPr>
          <w:color w:val="000000" w:themeColor="text1"/>
          <w:sz w:val="28"/>
        </w:rPr>
        <w:t xml:space="preserve">Общая численность граждан, получивших социальные выплаты, пособия и компенсации в 2024 году составила более 787 тыс. человек</w:t>
      </w:r>
      <w:r>
        <w:rPr>
          <w:color w:val="000000" w:themeColor="text1"/>
          <w:sz w:val="28"/>
        </w:rPr>
        <w:t xml:space="preserve">, более 6 тыс. граждан получили адресную помощь на условия</w:t>
      </w:r>
      <w:r>
        <w:rPr>
          <w:color w:val="000000" w:themeColor="text1"/>
          <w:sz w:val="28"/>
        </w:rPr>
        <w:t xml:space="preserve">х социальног</w:t>
      </w:r>
      <w:r>
        <w:rPr>
          <w:sz w:val="28"/>
        </w:rPr>
        <w:t xml:space="preserve">о контракта.</w:t>
      </w:r>
      <w:r>
        <w:rPr>
          <w:sz w:val="28"/>
        </w:rPr>
        <w:t xml:space="preserve"> </w:t>
      </w:r>
      <w:r>
        <w:rPr>
          <w:sz w:val="28"/>
        </w:rPr>
        <w:t xml:space="preserve">На предоставление 122 мер социальной поддержки из федерального бюджета и областного бюджета Новосибирской области было направлено более 32,5 млрд рублей.</w:t>
      </w:r>
      <w:r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</w:rPr>
        <w:t xml:space="preserve">По предварительной оценке, уровень бедности в Новосибирской области в 2024 году составит 9,2%, что на 0,2 процентного пункта ниже уровня 2023 года.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20"/>
        <w:jc w:val="both"/>
        <w:spacing w:after="0" w:line="240" w:lineRule="auto"/>
        <w:rPr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Проведен ряд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профориентационной</w:t>
      </w:r>
      <w:r>
        <w:rPr>
          <w:rFonts w:ascii="Times New Roman" w:hAnsi="Times New Roman" w:cs="Times New Roman"/>
          <w:sz w:val="28"/>
          <w:szCs w:val="28"/>
        </w:rPr>
        <w:t xml:space="preserve">, образовательной, патриотической, спортивно-оздоровительной и просветительской направленности</w:t>
      </w:r>
      <w:r>
        <w:rPr>
          <w:rFonts w:ascii="Times New Roman" w:hAnsi="Times New Roman" w:cs="Times New Roman"/>
          <w:sz w:val="28"/>
          <w:szCs w:val="28"/>
        </w:rPr>
        <w:t xml:space="preserve"> для молодежи</w:t>
      </w:r>
      <w:r>
        <w:rPr>
          <w:rFonts w:ascii="Times New Roman" w:hAnsi="Times New Roman" w:cs="Times New Roman"/>
          <w:sz w:val="28"/>
          <w:szCs w:val="28"/>
        </w:rPr>
        <w:t xml:space="preserve">, в том числе </w:t>
      </w:r>
      <w:r>
        <w:rPr>
          <w:rFonts w:ascii="Times New Roman" w:hAnsi="Times New Roman" w:cs="Times New Roman"/>
          <w:sz w:val="28"/>
          <w:szCs w:val="28"/>
        </w:rPr>
        <w:t xml:space="preserve">при участии и по инициативе молодежных советов профсоюзных организаций. </w:t>
      </w:r>
      <w:r>
        <w:rPr>
          <w:sz w:val="28"/>
          <w:szCs w:val="28"/>
          <w:highlight w:val="none"/>
        </w:rPr>
        <w:t xml:space="preserve">В 2024 году</w:t>
      </w:r>
      <w:r>
        <w:rPr>
          <w:sz w:val="28"/>
          <w:szCs w:val="28"/>
          <w:highlight w:val="none"/>
        </w:rPr>
        <w:t xml:space="preserve"> в целях поддержки одаренных детей и молодежи</w:t>
      </w:r>
      <w:r>
        <w:rPr>
          <w:sz w:val="28"/>
          <w:szCs w:val="28"/>
          <w:highlight w:val="none"/>
        </w:rPr>
        <w:t xml:space="preserve"> 90 студентам профессиональных образовательных организаций</w:t>
      </w:r>
      <w:r>
        <w:rPr>
          <w:sz w:val="28"/>
          <w:szCs w:val="28"/>
          <w:highlight w:val="none"/>
        </w:rPr>
        <w:t xml:space="preserve">, победившим в областных, региональных, всероссийских, международных конкурсах, олимпиадах </w:t>
      </w:r>
      <w:r>
        <w:rPr>
          <w:sz w:val="28"/>
          <w:szCs w:val="28"/>
          <w:highlight w:val="none"/>
        </w:rPr>
        <w:t xml:space="preserve">вручены </w:t>
      </w:r>
      <w:r>
        <w:rPr>
          <w:sz w:val="28"/>
          <w:szCs w:val="28"/>
          <w:highlight w:val="none"/>
        </w:rPr>
        <w:t xml:space="preserve">стипендии Правительства Новосибирской области. </w:t>
      </w:r>
      <w:r>
        <w:rPr>
          <w:sz w:val="28"/>
          <w:szCs w:val="28"/>
          <w:highlight w:val="none"/>
        </w:rPr>
        <w:t xml:space="preserve">Среди молодых ученых  </w:t>
      </w:r>
      <w:r>
        <w:rPr>
          <w:sz w:val="28"/>
          <w:szCs w:val="28"/>
          <w:highlight w:val="none"/>
        </w:rPr>
        <w:t xml:space="preserve">проведены конкурсы на предоставление грантов, премий и стипендий, по итогам которых вручено 20 стипендий, 19 премий, а также 30 грантов для воплощения </w:t>
      </w:r>
      <w:r>
        <w:rPr>
          <w:sz w:val="28"/>
          <w:szCs w:val="28"/>
          <w:highlight w:val="none"/>
        </w:rPr>
        <w:t xml:space="preserve">молодыми учеными </w:t>
      </w:r>
      <w:r>
        <w:rPr>
          <w:sz w:val="28"/>
          <w:szCs w:val="28"/>
          <w:highlight w:val="none"/>
        </w:rPr>
        <w:t xml:space="preserve">проектов.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Общий объем финансирования из областного бюджета Новосибирской области составил 22,8 млн рублей. </w:t>
      </w:r>
      <w:r>
        <w:rPr>
          <w:sz w:val="28"/>
          <w:highlight w:val="none"/>
        </w:rPr>
        <w:t xml:space="preserve">С 2024 года начал </w:t>
      </w:r>
      <w:r>
        <w:rPr>
          <w:sz w:val="28"/>
          <w:highlight w:val="none"/>
        </w:rPr>
        <w:t xml:space="preserve">формироваться Молодежный кадровый резерв Новосибирской области,</w:t>
      </w:r>
      <w:r>
        <w:rPr>
          <w:sz w:val="28"/>
          <w:highlight w:val="none"/>
        </w:rPr>
        <w:t xml:space="preserve"> </w:t>
      </w:r>
      <w:r>
        <w:rPr>
          <w:sz w:val="28"/>
          <w:highlight w:val="none"/>
        </w:rPr>
        <w:t xml:space="preserve">в который по результатам прохождения обучения</w:t>
      </w:r>
      <w:r>
        <w:rPr>
          <w:sz w:val="28"/>
          <w:highlight w:val="none"/>
        </w:rPr>
        <w:t xml:space="preserve"> </w:t>
      </w:r>
      <w:r>
        <w:rPr>
          <w:sz w:val="28"/>
          <w:highlight w:val="none"/>
        </w:rPr>
        <w:t xml:space="preserve">уже </w:t>
      </w:r>
      <w:r>
        <w:rPr>
          <w:sz w:val="28"/>
          <w:highlight w:val="none"/>
        </w:rPr>
        <w:t xml:space="preserve">зачислено 122 человека из числа </w:t>
      </w:r>
      <w:r>
        <w:rPr>
          <w:sz w:val="28"/>
          <w:highlight w:val="none"/>
        </w:rPr>
        <w:t xml:space="preserve">перспективных молодых людей, обладающих высоким уровнем развития лидерских качеств</w:t>
      </w:r>
      <w:r>
        <w:rPr>
          <w:sz w:val="28"/>
          <w:highlight w:val="none"/>
        </w:rPr>
        <w:t xml:space="preserve">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rFonts w:eastAsia="Calibri"/>
          <w:sz w:val="28"/>
          <w:szCs w:val="28"/>
          <w:highlight w:val="none"/>
        </w:rPr>
      </w:pPr>
      <w:r>
        <w:rPr>
          <w:rFonts w:eastAsia="Calibri"/>
          <w:sz w:val="28"/>
          <w:szCs w:val="28"/>
        </w:rPr>
        <w:t xml:space="preserve">Продолжалась работа по дальнейшему развитию коллективно-договорного регулирования на территории Новосибирской области. В 2024 году действовало </w:t>
      </w:r>
      <w:r>
        <w:rPr>
          <w:sz w:val="28"/>
          <w:szCs w:val="28"/>
        </w:rPr>
        <w:t xml:space="preserve">12 региональных отраслевых соглашений, 34 территориальных соглашения, 93 территориальных отраслевых соглашения, 4941 </w:t>
      </w:r>
      <w:r>
        <w:rPr>
          <w:sz w:val="28"/>
          <w:szCs w:val="28"/>
        </w:rPr>
        <w:t xml:space="preserve">коллективный договор</w:t>
      </w:r>
      <w:r>
        <w:rPr>
          <w:rFonts w:eastAsia="Calibri"/>
          <w:sz w:val="28"/>
          <w:szCs w:val="28"/>
        </w:rPr>
        <w:t xml:space="preserve">. В коллективно-договорные отношения вовлечено 69% работников крупных и средних организаций Новосибирской области. Осуществлен </w:t>
      </w:r>
      <w:r>
        <w:rPr>
          <w:rFonts w:eastAsia="Calibri"/>
          <w:sz w:val="28"/>
          <w:szCs w:val="28"/>
        </w:rPr>
        <w:t xml:space="preserve">контроль за</w:t>
      </w:r>
      <w:r>
        <w:rPr>
          <w:rFonts w:eastAsia="Calibri"/>
          <w:sz w:val="28"/>
          <w:szCs w:val="28"/>
        </w:rPr>
        <w:t xml:space="preserve"> выполнением 332 коллективных договоров и соглашений, оказана методическая и практическая помощь по их заключен</w:t>
      </w:r>
      <w:r>
        <w:rPr>
          <w:rFonts w:eastAsia="Calibri"/>
          <w:sz w:val="28"/>
          <w:szCs w:val="28"/>
        </w:rPr>
        <w:t xml:space="preserve">ию.</w:t>
      </w:r>
      <w:r>
        <w:rPr>
          <w:rFonts w:eastAsia="Calibri"/>
          <w:sz w:val="28"/>
          <w:szCs w:val="28"/>
          <w:highlight w:val="none"/>
        </w:rPr>
      </w:r>
      <w:r>
        <w:rPr>
          <w:rFonts w:eastAsia="Calibri"/>
          <w:sz w:val="28"/>
          <w:szCs w:val="28"/>
          <w:highlight w:val="none"/>
        </w:rPr>
      </w:r>
    </w:p>
    <w:p>
      <w:pPr>
        <w:ind w:firstLine="720"/>
        <w:jc w:val="both"/>
      </w:pPr>
      <w:r>
        <w:rPr>
          <w:rFonts w:eastAsia="Calibri"/>
          <w:sz w:val="28"/>
          <w:szCs w:val="28"/>
          <w:highlight w:val="none"/>
        </w:rPr>
      </w:r>
      <w:r>
        <w:rPr>
          <w:rFonts w:eastAsia="Calibri"/>
          <w:sz w:val="28"/>
          <w:szCs w:val="28"/>
          <w:highlight w:val="none"/>
        </w:rPr>
        <w:t xml:space="preserve">В рамках программы «Пропаганда правовых знаний в области трудового законодательства. Общественный контроль в сфере трудовых правоотношений в Новосибирской</w:t>
      </w:r>
      <w:r>
        <w:rPr>
          <w:rFonts w:eastAsia="Calibri"/>
          <w:sz w:val="28"/>
          <w:szCs w:val="28"/>
          <w:highlight w:val="none"/>
        </w:rPr>
        <w:t xml:space="preserve"> области» </w:t>
      </w:r>
      <w:r>
        <w:rPr>
          <w:rFonts w:eastAsia="Calibri"/>
          <w:sz w:val="28"/>
          <w:szCs w:val="28"/>
          <w:highlight w:val="none"/>
        </w:rPr>
        <w:t xml:space="preserve">Новосибирским </w:t>
      </w:r>
      <w:r>
        <w:rPr>
          <w:rFonts w:eastAsia="Calibri"/>
          <w:sz w:val="28"/>
          <w:szCs w:val="28"/>
          <w:highlight w:val="none"/>
        </w:rPr>
        <w:t xml:space="preserve">областным союзом организаций</w:t>
      </w:r>
      <w:r>
        <w:t xml:space="preserve"> </w:t>
      </w:r>
      <w:r>
        <w:rPr>
          <w:rFonts w:eastAsia="Calibri"/>
          <w:sz w:val="28"/>
          <w:szCs w:val="28"/>
          <w:highlight w:val="none"/>
        </w:rPr>
        <w:t xml:space="preserve">профсоюзов «Федерация профсоюзов</w:t>
      </w:r>
      <w:r>
        <w:t xml:space="preserve"> </w:t>
      </w:r>
      <w:r>
        <w:rPr>
          <w:rFonts w:eastAsia="Calibri"/>
          <w:sz w:val="28"/>
          <w:szCs w:val="28"/>
          <w:highlight w:val="none"/>
        </w:rPr>
        <w:t xml:space="preserve">Новосибирской области»</w:t>
      </w:r>
      <w:r>
        <w:rPr>
          <w:rFonts w:eastAsia="Calibri"/>
          <w:sz w:val="28"/>
          <w:szCs w:val="28"/>
          <w:highlight w:val="none"/>
        </w:rPr>
        <w:t xml:space="preserve"> проведено 4 семинара в муниципальных районах Новосибирской области, участниками которых стали 646 человек. </w:t>
      </w:r>
      <w:r>
        <w:rPr>
          <w:rFonts w:eastAsia="Calibri"/>
          <w:sz w:val="28"/>
          <w:szCs w:val="28"/>
          <w:highlight w:val="none"/>
        </w:rPr>
      </w:r>
      <w:r/>
    </w:p>
    <w:p>
      <w:pPr>
        <w:ind w:firstLine="720"/>
        <w:jc w:val="both"/>
        <w:rPr>
          <w:sz w:val="28"/>
        </w:rPr>
      </w:pPr>
      <w:r>
        <w:rPr>
          <w:rFonts w:eastAsia="Calibri"/>
          <w:sz w:val="28"/>
          <w:szCs w:val="28"/>
        </w:rPr>
        <w:t xml:space="preserve">Реализация обязательств Регионального соглашения способствовала сохранению социальной стабильности в регионе, </w:t>
      </w:r>
      <w:r>
        <w:rPr>
          <w:sz w:val="28"/>
          <w:szCs w:val="28"/>
        </w:rPr>
        <w:t xml:space="preserve">что подтверждается отсутствием зарегистрированных забастовок и коллективных трудовых споро</w:t>
      </w:r>
      <w:r>
        <w:rPr>
          <w:sz w:val="28"/>
          <w:szCs w:val="28"/>
        </w:rPr>
        <w:t xml:space="preserve">в.</w:t>
      </w:r>
      <w:r>
        <w:rPr>
          <w:sz w:val="28"/>
        </w:rPr>
      </w:r>
      <w:r>
        <w:rPr>
          <w:sz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Комиссия решила: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</w:t>
      </w:r>
      <w:r>
        <w:rPr>
          <w:sz w:val="28"/>
          <w:szCs w:val="28"/>
        </w:rPr>
        <w:t xml:space="preserve">Информацию о выполнении в 20</w:t>
      </w:r>
      <w:r>
        <w:rPr>
          <w:sz w:val="28"/>
          <w:szCs w:val="28"/>
        </w:rPr>
        <w:t xml:space="preserve">24 году Регионального соглашения принять к сведению.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highlight w:val="none"/>
        </w:rPr>
      </w:pPr>
      <w:r>
        <w:rPr>
          <w:sz w:val="28"/>
          <w:szCs w:val="28"/>
        </w:rPr>
        <w:t xml:space="preserve">2. </w:t>
      </w:r>
      <w:r>
        <w:rPr>
          <w:sz w:val="28"/>
          <w:szCs w:val="28"/>
        </w:rPr>
        <w:t xml:space="preserve">Сторонам социального партнерства продолжить выполне</w:t>
      </w:r>
      <w:r>
        <w:rPr>
          <w:sz w:val="28"/>
          <w:szCs w:val="28"/>
        </w:rPr>
        <w:t xml:space="preserve">ние взятых на себя обязательств.</w:t>
      </w:r>
      <w:r>
        <w:rPr>
          <w:highlight w:val="none"/>
        </w:rPr>
      </w:r>
      <w:r>
        <w:rPr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3. Рекомендовать министерству труда и социального развития Новосибирской области продолжить проведение мониторинга коллективно-договорного регулирования в подведомственных областным исполнительным органам Новосибирской области государственных учреждениях.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0031" w:type="dxa"/>
        <w:tblLook w:val="04A0" w:firstRow="1" w:lastRow="0" w:firstColumn="1" w:lastColumn="0" w:noHBand="0" w:noVBand="1"/>
      </w:tblPr>
      <w:tblGrid>
        <w:gridCol w:w="5103"/>
        <w:gridCol w:w="4928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103" w:type="dxa"/>
            <w:textDirection w:val="lrTb"/>
            <w:noWrap w:val="false"/>
          </w:tcPr>
          <w:p>
            <w:pPr>
              <w:jc w:val="both"/>
              <w:keepNext/>
              <w:widowControl w:val="off"/>
              <w:tabs>
                <w:tab w:val="left" w:pos="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Координатор Комиссии,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keepNext/>
              <w:widowControl w:val="off"/>
              <w:tabs>
                <w:tab w:val="left" w:pos="0" w:leader="none"/>
              </w:tabs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первый заместитель Председателя</w:t>
            </w: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</w:p>
          <w:p>
            <w:pPr>
              <w:keepNext/>
              <w:widowControl w:val="off"/>
              <w:tabs>
                <w:tab w:val="left" w:pos="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Правительства Новосибирской области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928" w:type="dxa"/>
            <w:textDirection w:val="lrTb"/>
            <w:noWrap w:val="false"/>
          </w:tcPr>
          <w:p>
            <w:pPr>
              <w:jc w:val="right"/>
              <w:keepNext/>
              <w:widowControl w:val="off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</w:p>
          <w:p>
            <w:pPr>
              <w:jc w:val="right"/>
              <w:keepNext/>
              <w:widowControl w:val="off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  <w:r>
              <w:rPr>
                <w:sz w:val="28"/>
                <w:szCs w:val="28"/>
                <w:lang w:eastAsia="en-US"/>
              </w:rPr>
            </w:r>
          </w:p>
          <w:p>
            <w:pPr>
              <w:jc w:val="right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В.М. </w:t>
            </w:r>
            <w:r>
              <w:rPr>
                <w:sz w:val="28"/>
                <w:szCs w:val="28"/>
                <w:lang w:eastAsia="en-US"/>
              </w:rPr>
              <w:t xml:space="preserve">Знатков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r/>
      <w:r/>
    </w:p>
    <w:sectPr>
      <w:headerReference w:type="default" r:id="rId8"/>
      <w:footnotePr/>
      <w:endnotePr/>
      <w:type w:val="nextPage"/>
      <w:pgSz w:w="11906" w:h="16838" w:orient="portrait"/>
      <w:pgMar w:top="1134" w:right="567" w:bottom="1134" w:left="1417" w:header="567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1"/>
      <w:jc w:val="center"/>
      <w:spacing w:before="40" w:beforeAutospacing="0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PAGE   \* MERGEFORMAT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 xml:space="preserve">2</w:t>
    </w:r>
    <w:r>
      <w:rPr>
        <w:sz w:val="20"/>
        <w:szCs w:val="20"/>
      </w:rPr>
      <w:fldChar w:fldCharType="end"/>
    </w:r>
    <w:r>
      <w:rPr>
        <w:sz w:val="20"/>
        <w:szCs w:val="20"/>
      </w:rPr>
    </w:r>
    <w:r>
      <w:rPr>
        <w:sz w:val="20"/>
        <w:szCs w:val="20"/>
      </w:rPr>
    </w:r>
  </w:p>
  <w:p>
    <w:pPr>
      <w:pStyle w:val="721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4" w:default="1">
    <w:name w:val="Normal"/>
    <w:qFormat/>
    <w:rPr>
      <w:rFonts w:ascii="Times New Roman" w:hAnsi="Times New Roman" w:eastAsia="Times New Roman"/>
      <w:sz w:val="24"/>
      <w:szCs w:val="24"/>
      <w:lang w:eastAsia="ru-RU"/>
    </w:rPr>
  </w:style>
  <w:style w:type="character" w:styleId="675" w:default="1">
    <w:name w:val="Default Paragraph Font"/>
    <w:uiPriority w:val="1"/>
    <w:semiHidden/>
    <w:unhideWhenUsed/>
  </w:style>
  <w:style w:type="table" w:styleId="676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7" w:default="1">
    <w:name w:val="No List"/>
    <w:uiPriority w:val="99"/>
    <w:semiHidden/>
    <w:unhideWhenUsed/>
  </w:style>
  <w:style w:type="character" w:styleId="678" w:customStyle="1">
    <w:name w:val="Heading 1 Char"/>
    <w:basedOn w:val="675"/>
    <w:link w:val="693"/>
    <w:uiPriority w:val="9"/>
    <w:rPr>
      <w:rFonts w:ascii="Arial" w:hAnsi="Arial" w:eastAsia="Arial" w:cs="Arial"/>
      <w:sz w:val="40"/>
      <w:szCs w:val="40"/>
    </w:rPr>
  </w:style>
  <w:style w:type="character" w:styleId="679" w:customStyle="1">
    <w:name w:val="Heading 2 Char"/>
    <w:basedOn w:val="675"/>
    <w:link w:val="694"/>
    <w:uiPriority w:val="9"/>
    <w:rPr>
      <w:rFonts w:ascii="Arial" w:hAnsi="Arial" w:eastAsia="Arial" w:cs="Arial"/>
      <w:sz w:val="34"/>
    </w:rPr>
  </w:style>
  <w:style w:type="character" w:styleId="680" w:customStyle="1">
    <w:name w:val="Heading 3 Char"/>
    <w:basedOn w:val="675"/>
    <w:link w:val="695"/>
    <w:uiPriority w:val="9"/>
    <w:rPr>
      <w:rFonts w:ascii="Arial" w:hAnsi="Arial" w:eastAsia="Arial" w:cs="Arial"/>
      <w:sz w:val="30"/>
      <w:szCs w:val="30"/>
    </w:rPr>
  </w:style>
  <w:style w:type="character" w:styleId="681" w:customStyle="1">
    <w:name w:val="Heading 4 Char"/>
    <w:basedOn w:val="675"/>
    <w:link w:val="696"/>
    <w:uiPriority w:val="9"/>
    <w:rPr>
      <w:rFonts w:ascii="Arial" w:hAnsi="Arial" w:eastAsia="Arial" w:cs="Arial"/>
      <w:b/>
      <w:bCs/>
      <w:sz w:val="26"/>
      <w:szCs w:val="26"/>
    </w:rPr>
  </w:style>
  <w:style w:type="character" w:styleId="682" w:customStyle="1">
    <w:name w:val="Heading 5 Char"/>
    <w:basedOn w:val="675"/>
    <w:link w:val="697"/>
    <w:uiPriority w:val="9"/>
    <w:rPr>
      <w:rFonts w:ascii="Arial" w:hAnsi="Arial" w:eastAsia="Arial" w:cs="Arial"/>
      <w:b/>
      <w:bCs/>
      <w:sz w:val="24"/>
      <w:szCs w:val="24"/>
    </w:rPr>
  </w:style>
  <w:style w:type="character" w:styleId="683" w:customStyle="1">
    <w:name w:val="Heading 6 Char"/>
    <w:basedOn w:val="675"/>
    <w:link w:val="698"/>
    <w:uiPriority w:val="9"/>
    <w:rPr>
      <w:rFonts w:ascii="Arial" w:hAnsi="Arial" w:eastAsia="Arial" w:cs="Arial"/>
      <w:b/>
      <w:bCs/>
      <w:sz w:val="22"/>
      <w:szCs w:val="22"/>
    </w:rPr>
  </w:style>
  <w:style w:type="character" w:styleId="684" w:customStyle="1">
    <w:name w:val="Heading 7 Char"/>
    <w:basedOn w:val="675"/>
    <w:link w:val="69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85" w:customStyle="1">
    <w:name w:val="Heading 8 Char"/>
    <w:basedOn w:val="675"/>
    <w:link w:val="700"/>
    <w:uiPriority w:val="9"/>
    <w:rPr>
      <w:rFonts w:ascii="Arial" w:hAnsi="Arial" w:eastAsia="Arial" w:cs="Arial"/>
      <w:i/>
      <w:iCs/>
      <w:sz w:val="22"/>
      <w:szCs w:val="22"/>
    </w:rPr>
  </w:style>
  <w:style w:type="character" w:styleId="686" w:customStyle="1">
    <w:name w:val="Heading 9 Char"/>
    <w:basedOn w:val="675"/>
    <w:link w:val="701"/>
    <w:uiPriority w:val="9"/>
    <w:rPr>
      <w:rFonts w:ascii="Arial" w:hAnsi="Arial" w:eastAsia="Arial" w:cs="Arial"/>
      <w:i/>
      <w:iCs/>
      <w:sz w:val="21"/>
      <w:szCs w:val="21"/>
    </w:rPr>
  </w:style>
  <w:style w:type="character" w:styleId="687" w:customStyle="1">
    <w:name w:val="Title Char"/>
    <w:basedOn w:val="675"/>
    <w:link w:val="713"/>
    <w:uiPriority w:val="10"/>
    <w:rPr>
      <w:sz w:val="48"/>
      <w:szCs w:val="48"/>
    </w:rPr>
  </w:style>
  <w:style w:type="character" w:styleId="688" w:customStyle="1">
    <w:name w:val="Subtitle Char"/>
    <w:basedOn w:val="675"/>
    <w:link w:val="715"/>
    <w:uiPriority w:val="11"/>
    <w:rPr>
      <w:sz w:val="24"/>
      <w:szCs w:val="24"/>
    </w:rPr>
  </w:style>
  <w:style w:type="character" w:styleId="689" w:customStyle="1">
    <w:name w:val="Quote Char"/>
    <w:link w:val="717"/>
    <w:uiPriority w:val="29"/>
    <w:rPr>
      <w:i/>
    </w:rPr>
  </w:style>
  <w:style w:type="character" w:styleId="690" w:customStyle="1">
    <w:name w:val="Intense Quote Char"/>
    <w:link w:val="719"/>
    <w:uiPriority w:val="30"/>
    <w:rPr>
      <w:i/>
    </w:rPr>
  </w:style>
  <w:style w:type="character" w:styleId="691" w:customStyle="1">
    <w:name w:val="Footnote Text Char"/>
    <w:link w:val="854"/>
    <w:uiPriority w:val="99"/>
    <w:rPr>
      <w:sz w:val="18"/>
    </w:rPr>
  </w:style>
  <w:style w:type="character" w:styleId="692" w:customStyle="1">
    <w:name w:val="Endnote Text Char"/>
    <w:link w:val="857"/>
    <w:uiPriority w:val="99"/>
    <w:rPr>
      <w:sz w:val="20"/>
    </w:rPr>
  </w:style>
  <w:style w:type="paragraph" w:styleId="693" w:customStyle="1">
    <w:name w:val="Heading 1"/>
    <w:basedOn w:val="674"/>
    <w:next w:val="674"/>
    <w:link w:val="70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94" w:customStyle="1">
    <w:name w:val="Heading 2"/>
    <w:basedOn w:val="674"/>
    <w:next w:val="674"/>
    <w:link w:val="70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95" w:customStyle="1">
    <w:name w:val="Heading 3"/>
    <w:basedOn w:val="674"/>
    <w:next w:val="674"/>
    <w:link w:val="70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96" w:customStyle="1">
    <w:name w:val="Heading 4"/>
    <w:basedOn w:val="674"/>
    <w:next w:val="674"/>
    <w:link w:val="70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97" w:customStyle="1">
    <w:name w:val="Heading 5"/>
    <w:basedOn w:val="674"/>
    <w:next w:val="674"/>
    <w:link w:val="70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98" w:customStyle="1">
    <w:name w:val="Heading 6"/>
    <w:basedOn w:val="674"/>
    <w:next w:val="674"/>
    <w:link w:val="70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99" w:customStyle="1">
    <w:name w:val="Heading 7"/>
    <w:basedOn w:val="674"/>
    <w:next w:val="674"/>
    <w:link w:val="70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00" w:customStyle="1">
    <w:name w:val="Heading 8"/>
    <w:basedOn w:val="674"/>
    <w:next w:val="674"/>
    <w:link w:val="70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01" w:customStyle="1">
    <w:name w:val="Heading 9"/>
    <w:basedOn w:val="674"/>
    <w:next w:val="674"/>
    <w:link w:val="71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2" w:customStyle="1">
    <w:name w:val="Заголовок 1 Знак"/>
    <w:link w:val="693"/>
    <w:uiPriority w:val="9"/>
    <w:rPr>
      <w:rFonts w:ascii="Arial" w:hAnsi="Arial" w:eastAsia="Arial" w:cs="Arial"/>
      <w:sz w:val="40"/>
      <w:szCs w:val="40"/>
    </w:rPr>
  </w:style>
  <w:style w:type="character" w:styleId="703" w:customStyle="1">
    <w:name w:val="Заголовок 2 Знак"/>
    <w:link w:val="694"/>
    <w:uiPriority w:val="9"/>
    <w:rPr>
      <w:rFonts w:ascii="Arial" w:hAnsi="Arial" w:eastAsia="Arial" w:cs="Arial"/>
      <w:sz w:val="34"/>
    </w:rPr>
  </w:style>
  <w:style w:type="character" w:styleId="704" w:customStyle="1">
    <w:name w:val="Заголовок 3 Знак"/>
    <w:link w:val="695"/>
    <w:uiPriority w:val="9"/>
    <w:rPr>
      <w:rFonts w:ascii="Arial" w:hAnsi="Arial" w:eastAsia="Arial" w:cs="Arial"/>
      <w:sz w:val="30"/>
      <w:szCs w:val="30"/>
    </w:rPr>
  </w:style>
  <w:style w:type="character" w:styleId="705" w:customStyle="1">
    <w:name w:val="Заголовок 4 Знак"/>
    <w:link w:val="696"/>
    <w:uiPriority w:val="9"/>
    <w:rPr>
      <w:rFonts w:ascii="Arial" w:hAnsi="Arial" w:eastAsia="Arial" w:cs="Arial"/>
      <w:b/>
      <w:bCs/>
      <w:sz w:val="26"/>
      <w:szCs w:val="26"/>
    </w:rPr>
  </w:style>
  <w:style w:type="character" w:styleId="706" w:customStyle="1">
    <w:name w:val="Заголовок 5 Знак"/>
    <w:link w:val="697"/>
    <w:uiPriority w:val="9"/>
    <w:rPr>
      <w:rFonts w:ascii="Arial" w:hAnsi="Arial" w:eastAsia="Arial" w:cs="Arial"/>
      <w:b/>
      <w:bCs/>
      <w:sz w:val="24"/>
      <w:szCs w:val="24"/>
    </w:rPr>
  </w:style>
  <w:style w:type="character" w:styleId="707" w:customStyle="1">
    <w:name w:val="Заголовок 6 Знак"/>
    <w:link w:val="698"/>
    <w:uiPriority w:val="9"/>
    <w:rPr>
      <w:rFonts w:ascii="Arial" w:hAnsi="Arial" w:eastAsia="Arial" w:cs="Arial"/>
      <w:b/>
      <w:bCs/>
      <w:sz w:val="22"/>
      <w:szCs w:val="22"/>
    </w:rPr>
  </w:style>
  <w:style w:type="character" w:styleId="708" w:customStyle="1">
    <w:name w:val="Заголовок 7 Знак"/>
    <w:link w:val="69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9" w:customStyle="1">
    <w:name w:val="Заголовок 8 Знак"/>
    <w:link w:val="700"/>
    <w:uiPriority w:val="9"/>
    <w:rPr>
      <w:rFonts w:ascii="Arial" w:hAnsi="Arial" w:eastAsia="Arial" w:cs="Arial"/>
      <w:i/>
      <w:iCs/>
      <w:sz w:val="22"/>
      <w:szCs w:val="22"/>
    </w:rPr>
  </w:style>
  <w:style w:type="character" w:styleId="710" w:customStyle="1">
    <w:name w:val="Заголовок 9 Знак"/>
    <w:link w:val="701"/>
    <w:uiPriority w:val="9"/>
    <w:rPr>
      <w:rFonts w:ascii="Arial" w:hAnsi="Arial" w:eastAsia="Arial" w:cs="Arial"/>
      <w:i/>
      <w:iCs/>
      <w:sz w:val="21"/>
      <w:szCs w:val="21"/>
    </w:rPr>
  </w:style>
  <w:style w:type="paragraph" w:styleId="711">
    <w:name w:val="List Paragraph"/>
    <w:basedOn w:val="674"/>
    <w:uiPriority w:val="34"/>
    <w:qFormat/>
    <w:pPr>
      <w:contextualSpacing/>
      <w:ind w:left="720"/>
    </w:pPr>
  </w:style>
  <w:style w:type="paragraph" w:styleId="712">
    <w:name w:val="No Spacing"/>
    <w:uiPriority w:val="1"/>
    <w:qFormat/>
  </w:style>
  <w:style w:type="paragraph" w:styleId="713">
    <w:name w:val="Title"/>
    <w:basedOn w:val="674"/>
    <w:next w:val="674"/>
    <w:link w:val="71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4" w:customStyle="1">
    <w:name w:val="Название Знак"/>
    <w:link w:val="713"/>
    <w:uiPriority w:val="10"/>
    <w:rPr>
      <w:sz w:val="48"/>
      <w:szCs w:val="48"/>
    </w:rPr>
  </w:style>
  <w:style w:type="paragraph" w:styleId="715">
    <w:name w:val="Subtitle"/>
    <w:basedOn w:val="674"/>
    <w:next w:val="674"/>
    <w:link w:val="716"/>
    <w:uiPriority w:val="11"/>
    <w:qFormat/>
    <w:pPr>
      <w:spacing w:before="200" w:after="200"/>
    </w:pPr>
  </w:style>
  <w:style w:type="character" w:styleId="716" w:customStyle="1">
    <w:name w:val="Подзаголовок Знак"/>
    <w:link w:val="715"/>
    <w:uiPriority w:val="11"/>
    <w:rPr>
      <w:sz w:val="24"/>
      <w:szCs w:val="24"/>
    </w:rPr>
  </w:style>
  <w:style w:type="paragraph" w:styleId="717">
    <w:name w:val="Quote"/>
    <w:basedOn w:val="674"/>
    <w:next w:val="674"/>
    <w:link w:val="718"/>
    <w:uiPriority w:val="29"/>
    <w:qFormat/>
    <w:pPr>
      <w:ind w:left="720" w:right="720"/>
    </w:pPr>
    <w:rPr>
      <w:i/>
    </w:rPr>
  </w:style>
  <w:style w:type="character" w:styleId="718" w:customStyle="1">
    <w:name w:val="Цитата 2 Знак"/>
    <w:link w:val="717"/>
    <w:uiPriority w:val="29"/>
    <w:rPr>
      <w:i/>
    </w:rPr>
  </w:style>
  <w:style w:type="paragraph" w:styleId="719">
    <w:name w:val="Intense Quote"/>
    <w:basedOn w:val="674"/>
    <w:next w:val="674"/>
    <w:link w:val="72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0" w:customStyle="1">
    <w:name w:val="Выделенная цитата Знак"/>
    <w:link w:val="719"/>
    <w:uiPriority w:val="30"/>
    <w:rPr>
      <w:i/>
    </w:rPr>
  </w:style>
  <w:style w:type="paragraph" w:styleId="721" w:customStyle="1">
    <w:name w:val="Header"/>
    <w:basedOn w:val="674"/>
    <w:link w:val="875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22" w:customStyle="1">
    <w:name w:val="Header Char"/>
    <w:uiPriority w:val="99"/>
  </w:style>
  <w:style w:type="paragraph" w:styleId="723" w:customStyle="1">
    <w:name w:val="Footer"/>
    <w:basedOn w:val="674"/>
    <w:link w:val="87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24" w:customStyle="1">
    <w:name w:val="Footer Char"/>
    <w:uiPriority w:val="99"/>
  </w:style>
  <w:style w:type="paragraph" w:styleId="725" w:customStyle="1">
    <w:name w:val="Caption"/>
    <w:basedOn w:val="674"/>
    <w:next w:val="67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6" w:customStyle="1">
    <w:name w:val="Caption Char"/>
    <w:uiPriority w:val="99"/>
  </w:style>
  <w:style w:type="table" w:styleId="727">
    <w:name w:val="Table Grid"/>
    <w:basedOn w:val="676"/>
    <w:uiPriority w:val="39"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table" w:styleId="728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 w:customStyle="1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0" w:fill="f2f2f2" w:themeFill="text1" w:themeFillTint="00"/>
      </w:tcPr>
    </w:tblStylePr>
    <w:tblStylePr w:type="band1Vert">
      <w:tcPr>
        <w:shd w:val="clear" w:color="f2f2f2" w:themeColor="text1" w:themeTint="00" w:fill="f2f2f2" w:themeFill="text1" w:themeFillTint="0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 w:customStyle="1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1" w:customStyle="1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2" w:customStyle="1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 w:customStyle="1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 w:customStyle="1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 w:customStyle="1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 w:customStyle="1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6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57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58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59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60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61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62" w:customStyle="1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63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64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65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66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67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68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69" w:customStyle="1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70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71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72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73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74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75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76" w:customStyle="1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0" w:fill="f2f2f2" w:themeFill="text1" w:themeFillTint="00"/>
      </w:tcPr>
    </w:tblStylePr>
    <w:tblStylePr w:type="band1Vert">
      <w:tcPr>
        <w:shd w:val="clear" w:color="f2f2f2" w:themeColor="text1" w:themeTint="00" w:fill="f2f2f2" w:themeFill="text1" w:themeFillTint="0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 w:customStyle="1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91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92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93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94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95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96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97" w:customStyle="1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 w:customStyle="1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 w:customStyle="1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2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3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4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5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6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7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8" w:customStyle="1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19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20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21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22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23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24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25" w:customStyle="1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33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34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35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36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37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8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9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0" w:fill="f2f2f2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40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41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42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43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44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45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46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47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48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49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50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51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52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53">
    <w:name w:val="Hyperlink"/>
    <w:uiPriority w:val="99"/>
    <w:unhideWhenUsed/>
    <w:rPr>
      <w:color w:val="0000ff" w:themeColor="hyperlink"/>
      <w:u w:val="single"/>
    </w:rPr>
  </w:style>
  <w:style w:type="paragraph" w:styleId="854">
    <w:name w:val="footnote text"/>
    <w:basedOn w:val="674"/>
    <w:link w:val="855"/>
    <w:uiPriority w:val="99"/>
    <w:semiHidden/>
    <w:unhideWhenUsed/>
    <w:pPr>
      <w:spacing w:after="40"/>
    </w:pPr>
    <w:rPr>
      <w:sz w:val="18"/>
    </w:rPr>
  </w:style>
  <w:style w:type="character" w:styleId="855" w:customStyle="1">
    <w:name w:val="Текст сноски Знак"/>
    <w:link w:val="854"/>
    <w:uiPriority w:val="99"/>
    <w:rPr>
      <w:sz w:val="18"/>
    </w:rPr>
  </w:style>
  <w:style w:type="character" w:styleId="856">
    <w:name w:val="footnote reference"/>
    <w:uiPriority w:val="99"/>
    <w:unhideWhenUsed/>
    <w:rPr>
      <w:vertAlign w:val="superscript"/>
    </w:rPr>
  </w:style>
  <w:style w:type="paragraph" w:styleId="857">
    <w:name w:val="endnote text"/>
    <w:basedOn w:val="674"/>
    <w:link w:val="858"/>
    <w:uiPriority w:val="99"/>
    <w:semiHidden/>
    <w:unhideWhenUsed/>
    <w:rPr>
      <w:sz w:val="20"/>
    </w:rPr>
  </w:style>
  <w:style w:type="character" w:styleId="858" w:customStyle="1">
    <w:name w:val="Текст концевой сноски Знак"/>
    <w:link w:val="857"/>
    <w:uiPriority w:val="99"/>
    <w:rPr>
      <w:sz w:val="20"/>
    </w:rPr>
  </w:style>
  <w:style w:type="character" w:styleId="859">
    <w:name w:val="endnote reference"/>
    <w:uiPriority w:val="99"/>
    <w:semiHidden/>
    <w:unhideWhenUsed/>
    <w:rPr>
      <w:vertAlign w:val="superscript"/>
    </w:rPr>
  </w:style>
  <w:style w:type="paragraph" w:styleId="860">
    <w:name w:val="toc 1"/>
    <w:basedOn w:val="674"/>
    <w:next w:val="674"/>
    <w:uiPriority w:val="39"/>
    <w:unhideWhenUsed/>
    <w:pPr>
      <w:spacing w:after="57"/>
    </w:pPr>
  </w:style>
  <w:style w:type="paragraph" w:styleId="861">
    <w:name w:val="toc 2"/>
    <w:basedOn w:val="674"/>
    <w:next w:val="674"/>
    <w:uiPriority w:val="39"/>
    <w:unhideWhenUsed/>
    <w:pPr>
      <w:ind w:left="283"/>
      <w:spacing w:after="57"/>
    </w:pPr>
  </w:style>
  <w:style w:type="paragraph" w:styleId="862">
    <w:name w:val="toc 3"/>
    <w:basedOn w:val="674"/>
    <w:next w:val="674"/>
    <w:uiPriority w:val="39"/>
    <w:unhideWhenUsed/>
    <w:pPr>
      <w:ind w:left="567"/>
      <w:spacing w:after="57"/>
    </w:pPr>
  </w:style>
  <w:style w:type="paragraph" w:styleId="863">
    <w:name w:val="toc 4"/>
    <w:basedOn w:val="674"/>
    <w:next w:val="674"/>
    <w:uiPriority w:val="39"/>
    <w:unhideWhenUsed/>
    <w:pPr>
      <w:ind w:left="850"/>
      <w:spacing w:after="57"/>
    </w:pPr>
  </w:style>
  <w:style w:type="paragraph" w:styleId="864">
    <w:name w:val="toc 5"/>
    <w:basedOn w:val="674"/>
    <w:next w:val="674"/>
    <w:uiPriority w:val="39"/>
    <w:unhideWhenUsed/>
    <w:pPr>
      <w:ind w:left="1134"/>
      <w:spacing w:after="57"/>
    </w:pPr>
  </w:style>
  <w:style w:type="paragraph" w:styleId="865">
    <w:name w:val="toc 6"/>
    <w:basedOn w:val="674"/>
    <w:next w:val="674"/>
    <w:uiPriority w:val="39"/>
    <w:unhideWhenUsed/>
    <w:pPr>
      <w:ind w:left="1417"/>
      <w:spacing w:after="57"/>
    </w:pPr>
  </w:style>
  <w:style w:type="paragraph" w:styleId="866">
    <w:name w:val="toc 7"/>
    <w:basedOn w:val="674"/>
    <w:next w:val="674"/>
    <w:uiPriority w:val="39"/>
    <w:unhideWhenUsed/>
    <w:pPr>
      <w:ind w:left="1701"/>
      <w:spacing w:after="57"/>
    </w:pPr>
  </w:style>
  <w:style w:type="paragraph" w:styleId="867">
    <w:name w:val="toc 8"/>
    <w:basedOn w:val="674"/>
    <w:next w:val="674"/>
    <w:uiPriority w:val="39"/>
    <w:unhideWhenUsed/>
    <w:pPr>
      <w:ind w:left="1984"/>
      <w:spacing w:after="57"/>
    </w:pPr>
  </w:style>
  <w:style w:type="paragraph" w:styleId="868">
    <w:name w:val="toc 9"/>
    <w:basedOn w:val="674"/>
    <w:next w:val="674"/>
    <w:uiPriority w:val="39"/>
    <w:unhideWhenUsed/>
    <w:pPr>
      <w:ind w:left="2268"/>
      <w:spacing w:after="57"/>
    </w:pPr>
  </w:style>
  <w:style w:type="paragraph" w:styleId="869">
    <w:name w:val="TOC Heading"/>
    <w:uiPriority w:val="39"/>
    <w:unhideWhenUsed/>
  </w:style>
  <w:style w:type="paragraph" w:styleId="870">
    <w:name w:val="table of figures"/>
    <w:basedOn w:val="674"/>
    <w:next w:val="674"/>
    <w:uiPriority w:val="99"/>
    <w:unhideWhenUsed/>
  </w:style>
  <w:style w:type="paragraph" w:styleId="871">
    <w:name w:val="Balloon Text"/>
    <w:basedOn w:val="674"/>
    <w:link w:val="872"/>
    <w:uiPriority w:val="99"/>
    <w:semiHidden/>
    <w:unhideWhenUsed/>
    <w:rPr>
      <w:rFonts w:ascii="Tahoma" w:hAnsi="Tahoma" w:cs="Tahoma"/>
      <w:sz w:val="16"/>
      <w:szCs w:val="16"/>
    </w:rPr>
  </w:style>
  <w:style w:type="character" w:styleId="872" w:customStyle="1">
    <w:name w:val="Текст выноски Знак"/>
    <w:link w:val="871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paragraph" w:styleId="873">
    <w:name w:val="Body Text Indent 2"/>
    <w:basedOn w:val="674"/>
    <w:link w:val="874"/>
    <w:pPr>
      <w:ind w:firstLine="709"/>
      <w:jc w:val="both"/>
    </w:pPr>
    <w:rPr>
      <w:sz w:val="28"/>
      <w:szCs w:val="20"/>
    </w:rPr>
  </w:style>
  <w:style w:type="character" w:styleId="874" w:customStyle="1">
    <w:name w:val="Основной текст с отступом 2 Знак"/>
    <w:link w:val="873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875" w:customStyle="1">
    <w:name w:val="Верхний колонтитул Знак"/>
    <w:link w:val="721"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76" w:customStyle="1">
    <w:name w:val="Нижний колонтитул Знак"/>
    <w:link w:val="723"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77">
    <w:name w:val="Body Text Indent 3"/>
    <w:basedOn w:val="674"/>
    <w:link w:val="878"/>
    <w:uiPriority w:val="99"/>
    <w:unhideWhenUsed/>
    <w:pPr>
      <w:ind w:left="283"/>
      <w:spacing w:after="120"/>
    </w:pPr>
    <w:rPr>
      <w:sz w:val="16"/>
      <w:szCs w:val="16"/>
    </w:rPr>
  </w:style>
  <w:style w:type="character" w:styleId="878" w:customStyle="1">
    <w:name w:val="Основной текст с отступом 3 Знак"/>
    <w:link w:val="877"/>
    <w:uiPriority w:val="99"/>
    <w:rPr>
      <w:rFonts w:ascii="Times New Roman" w:hAnsi="Times New Roman" w:eastAsia="Times New Roman"/>
      <w:sz w:val="16"/>
      <w:szCs w:val="16"/>
    </w:rPr>
  </w:style>
  <w:style w:type="paragraph" w:styleId="879">
    <w:name w:val="Body Text"/>
    <w:basedOn w:val="674"/>
    <w:link w:val="880"/>
    <w:uiPriority w:val="99"/>
    <w:unhideWhenUsed/>
    <w:pPr>
      <w:spacing w:after="120"/>
    </w:pPr>
    <w:rPr>
      <w:sz w:val="20"/>
      <w:szCs w:val="20"/>
    </w:rPr>
  </w:style>
  <w:style w:type="character" w:styleId="880" w:customStyle="1">
    <w:name w:val="Основной текст Знак"/>
    <w:link w:val="879"/>
    <w:uiPriority w:val="99"/>
    <w:rPr>
      <w:rFonts w:ascii="Times New Roman" w:hAnsi="Times New Roman" w:eastAsia="Times New Roman"/>
    </w:rPr>
  </w:style>
  <w:style w:type="paragraph" w:styleId="881" w:customStyle="1">
    <w:name w:val="ConsNormal"/>
    <w:pPr>
      <w:ind w:firstLine="720"/>
      <w:widowControl w:val="off"/>
    </w:pPr>
    <w:rPr>
      <w:rFonts w:ascii="Arial" w:hAnsi="Arial" w:eastAsia="Times New Roman"/>
      <w:lang w:eastAsia="ru-RU"/>
    </w:rPr>
  </w:style>
  <w:style w:type="paragraph" w:styleId="882" w:customStyle="1">
    <w:name w:val="Char Знак Знак"/>
    <w:basedOn w:val="674"/>
    <w:pPr>
      <w:jc w:val="right"/>
      <w:spacing w:after="160" w:line="240" w:lineRule="exact"/>
      <w:widowControl w:val="off"/>
    </w:pPr>
    <w:rPr>
      <w:sz w:val="20"/>
      <w:szCs w:val="20"/>
      <w:lang w:val="en-GB" w:eastAsia="en-US"/>
    </w:rPr>
  </w:style>
  <w:style w:type="paragraph" w:styleId="883" w:customStyle="1">
    <w:name w:val="ConsPlusNormal"/>
    <w:next w:val="879"/>
    <w:qFormat/>
    <w:pPr>
      <w:ind w:firstLine="720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Arial" w:hAnsi="Arial" w:eastAsia="Times New Roman" w:cs="Arial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минтруд Новосибирской области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Карпова Людмила Александровна</dc:creator>
  <cp:revision>19</cp:revision>
  <dcterms:created xsi:type="dcterms:W3CDTF">2024-02-20T02:14:00Z</dcterms:created>
  <dcterms:modified xsi:type="dcterms:W3CDTF">2025-03-06T04:54:48Z</dcterms:modified>
  <cp:version>983040</cp:version>
</cp:coreProperties>
</file>