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273"/>
      </w:tblGrid>
      <w:tr>
        <w:trPr/>
        <w:tblPrEx/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3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2/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6"/>
        <w:gridCol w:w="5105"/>
      </w:tblGrid>
      <w:tr>
        <w:trPr/>
        <w:tblPrEx/>
        <w:tc>
          <w:tcPr>
            <w:tcW w:w="4926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highlight w:val="none"/>
              </w:rPr>
              <w:t xml:space="preserve">О региональной промышленности в Новосибирской области. Итоги за 2024 год и задачи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5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  <w:highlight w:val="white"/>
        </w:rPr>
      </w:pPr>
      <w:r>
        <w:rPr>
          <w:sz w:val="28"/>
          <w:szCs w:val="28"/>
        </w:rPr>
        <w:t xml:space="preserve">Заслушав информацию министерства промышленности </w:t>
      </w:r>
      <w:r>
        <w:rPr>
          <w:color w:val="000000"/>
          <w:sz w:val="28"/>
          <w:szCs w:val="28"/>
        </w:rPr>
        <w:t xml:space="preserve">торговли и развития предпринимательства Новосибирской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– Минпромторг НСО) </w:t>
      </w:r>
      <w:r>
        <w:rPr>
          <w:sz w:val="28"/>
          <w:szCs w:val="28"/>
        </w:rPr>
        <w:t xml:space="preserve">об итогах развития региональной промышленности Новосибирской области в 2024 году и задачах на 2025 год, </w:t>
      </w:r>
      <w:r>
        <w:rPr>
          <w:sz w:val="28"/>
          <w:szCs w:val="28"/>
        </w:rPr>
        <w:t xml:space="preserve">Новосибирская областная трехсторонняя комиссия по регулированию социально-трудовых отношений (далее – Комиссия) отмечает, что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органами </w:t>
      </w:r>
      <w:r>
        <w:rPr>
          <w:rFonts w:ascii="Times New Roman" w:hAnsi="Times New Roman"/>
          <w:sz w:val="28"/>
          <w:szCs w:val="28"/>
        </w:rPr>
        <w:t xml:space="preserve">государственной власти Новосибирской области предпринимались все необходимые меры и решения для устойчивости экономики Новосибирской области.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Промышленность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одной из основных отраслей экономики региона, </w:t>
      </w:r>
      <w:r>
        <w:rPr>
          <w:rFonts w:ascii="Times New Roman" w:hAnsi="Times New Roman"/>
          <w:sz w:val="28"/>
          <w:szCs w:val="28"/>
        </w:rPr>
        <w:t xml:space="preserve">на ее долю приходится более 20% валового регионального продукта, более 25% инвестиций в основной капитал, 17% от численности всех работников, занятых в экономике Новосибирской области, </w:t>
      </w:r>
      <w:r>
        <w:rPr>
          <w:sz w:val="28"/>
          <w:szCs w:val="28"/>
          <w:highlight w:val="white"/>
        </w:rPr>
        <w:t xml:space="preserve">среднемесячная номинальная начисленная заработная плата </w:t>
      </w:r>
      <w:r>
        <w:rPr>
          <w:sz w:val="28"/>
          <w:szCs w:val="28"/>
          <w:highlight w:val="white"/>
        </w:rPr>
        <w:t xml:space="preserve">работников организаций обрабатывающих производств </w:t>
      </w:r>
      <w:r>
        <w:rPr>
          <w:sz w:val="28"/>
          <w:szCs w:val="28"/>
          <w:highlight w:val="white"/>
        </w:rPr>
        <w:t xml:space="preserve">выросла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2024 год </w:t>
      </w:r>
      <w:r>
        <w:rPr>
          <w:sz w:val="28"/>
          <w:szCs w:val="28"/>
          <w:highlight w:val="white"/>
        </w:rPr>
        <w:t xml:space="preserve">по сравнению с 2023 годом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 21,7%</w:t>
      </w:r>
      <w:r>
        <w:rPr>
          <w:sz w:val="28"/>
          <w:szCs w:val="28"/>
          <w:highlight w:val="white"/>
        </w:rPr>
        <w:t xml:space="preserve">, составив 7824</w:t>
      </w:r>
      <w:r>
        <w:rPr>
          <w:sz w:val="28"/>
          <w:szCs w:val="28"/>
          <w:highlight w:val="white"/>
        </w:rPr>
        <w:t xml:space="preserve">5,8 </w:t>
      </w:r>
      <w:r>
        <w:rPr>
          <w:sz w:val="28"/>
          <w:szCs w:val="28"/>
          <w:highlight w:val="white"/>
        </w:rPr>
        <w:t xml:space="preserve">рубл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40"/>
          <w:szCs w:val="40"/>
          <w:highlight w:val="white"/>
        </w:rPr>
      </w:r>
      <w:r>
        <w:rPr>
          <w:rFonts w:ascii="Times New Roman" w:hAnsi="Times New Roman"/>
          <w:sz w:val="40"/>
          <w:szCs w:val="40"/>
          <w:highlight w:val="whit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По итогам 2024 года индекс промышленного производства в Новосибирской области составил 103,4% к уровню 2023 года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рост объемов производства в обрабатывающей промышленности – 107,5%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40"/>
          <w:szCs w:val="40"/>
          <w:highlight w:val="non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ост промышленного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производства отмечен в 15 из 23 видов обрабатывающих производств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По группе высокотехнологичных отраслей индекс производства составил 106,6%, среди них рост продемонстрировали отрасли, связанные с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выпуском компьютеров, оптических и электронных изделий  (+23,8%)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i w:val="0"/>
          <w:iCs w:val="0"/>
          <w:sz w:val="40"/>
          <w:szCs w:val="40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производством электрического оборудования (+8,1%),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производством автотранспортных средств, прицепов и полуприцепов (+6,5%).</w:t>
      </w:r>
      <w:r>
        <w:rPr>
          <w:rFonts w:ascii="Times New Roman" w:hAnsi="Times New Roman"/>
          <w:i w:val="0"/>
          <w:iCs w:val="0"/>
          <w:sz w:val="40"/>
          <w:szCs w:val="40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Также отмечается рост в</w:t>
      </w:r>
      <w:r>
        <w:rPr>
          <w:rFonts w:ascii="Times New Roman" w:hAnsi="Times New Roman"/>
          <w:i w:val="0"/>
          <w:iCs w:val="0"/>
          <w:sz w:val="40"/>
          <w:szCs w:val="40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производств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готовых металлических изделий, кроме машин и оборудования (+37,7%),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производств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напитков (+14,5%),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производств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кожи и изделий и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з кожи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(+ 14,1%).</w:t>
      </w:r>
      <w:r>
        <w:rPr>
          <w:rFonts w:ascii="Times New Roman" w:hAnsi="Times New Roman"/>
          <w:i w:val="0"/>
          <w:iCs w:val="0"/>
          <w:sz w:val="40"/>
          <w:szCs w:val="40"/>
          <w:highlight w:val="none"/>
        </w:rPr>
      </w:r>
      <w:r>
        <w:rPr>
          <w:rFonts w:ascii="Times New Roman" w:hAnsi="Times New Roman"/>
          <w:i w:val="0"/>
          <w:iCs w:val="0"/>
          <w:sz w:val="40"/>
          <w:szCs w:val="40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Задачи и основные направления деятельности в сфере развития обрабатывающих производств, формирования высокотехнологичной и 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укоемкой промышленности реализуются в рамках государственной программы «Развитие промышленности и повышение ее конкурентоспособности в Новосибирской области». В 2024 году на реализацию мероприятий государственной программы было направлено 599,4 млн рублей.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Успешно продолжает свою работу Государственный фонд развития промышленности Новосибирской области, </w:t>
      </w:r>
      <w:r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 xml:space="preserve">предоставлено 23 льготных займа </w:t>
      </w:r>
      <w:r>
        <w:rPr>
          <w:rFonts w:ascii="Times New Roman" w:hAnsi="Times New Roman"/>
          <w:sz w:val="28"/>
          <w:szCs w:val="28"/>
        </w:rPr>
        <w:t xml:space="preserve">промышленным организациям Новосибирской области на общую сумму 515,9 млн рублей.</w:t>
      </w:r>
      <w:r>
        <w:rPr>
          <w:rFonts w:ascii="Times New Roman" w:hAnsi="Times New Roman"/>
          <w:sz w:val="40"/>
          <w:szCs w:val="40"/>
          <w:highlight w:val="none"/>
        </w:rPr>
      </w:r>
      <w:r>
        <w:rPr>
          <w:rFonts w:ascii="Times New Roman" w:hAnsi="Times New Roman"/>
          <w:sz w:val="40"/>
          <w:szCs w:val="40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  <w:highlight w:val="none"/>
        </w:rPr>
      </w:pPr>
      <w:r>
        <w:rPr>
          <w:rFonts w:ascii="Times New Roman" w:hAnsi="Times New Roman"/>
          <w:sz w:val="40"/>
          <w:szCs w:val="40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целях развития производства и повышения конкурентоспособности выпускаемой продукции реализуются инвестиционные проекты:</w:t>
      </w:r>
      <w:r>
        <w:rPr>
          <w:rFonts w:ascii="Times New Roman" w:hAnsi="Times New Roman"/>
          <w:sz w:val="40"/>
          <w:szCs w:val="40"/>
          <w:highlight w:val="none"/>
        </w:rPr>
      </w:r>
      <w:r>
        <w:rPr>
          <w:rFonts w:ascii="Times New Roman" w:hAnsi="Times New Roman"/>
          <w:sz w:val="40"/>
          <w:szCs w:val="40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40"/>
          <w:szCs w:val="40"/>
          <w:highlight w:val="none"/>
        </w:rPr>
      </w:r>
      <w:r>
        <w:rPr>
          <w:rFonts w:ascii="Times New Roman" w:hAnsi="Times New Roman"/>
          <w:bCs/>
          <w:sz w:val="28"/>
          <w:szCs w:val="28"/>
        </w:rPr>
        <w:t xml:space="preserve">- развитие производства ПАО «Новосибирский завод химконцентратов»;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развитие и модернизация производства АО «ПФК Обновление»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- техническое перевооружение производства НПО «ЭЛСИБ»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ПАО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- расширение действующего производства и </w:t>
      </w:r>
      <w:r>
        <w:rPr>
          <w:rFonts w:ascii="Times New Roman" w:hAnsi="Times New Roman"/>
          <w:sz w:val="28"/>
          <w:szCs w:val="28"/>
        </w:rPr>
        <w:t xml:space="preserve">строительство нового корпуса</w:t>
      </w:r>
      <w:r>
        <w:rPr>
          <w:rFonts w:ascii="Times New Roman" w:hAnsi="Times New Roman"/>
          <w:sz w:val="28"/>
          <w:szCs w:val="28"/>
        </w:rPr>
        <w:t xml:space="preserve">  ООО НППГА «Луч»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- расширение ООО «Предприятие «ЭЛТЕКС»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- организация нового производства АО «Новосибирский картонно-бумажный комбинат»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соответствии с Законом Новосибирской области «О налогах и особенностях налогообложения отдельных категорий налогоплательщиков в Новосибирской области» по итогам работы за 2024 год четырем промышленным организациям предоставлены налоговые льготы по налогу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на прибыль организаций, подлежащему зачислению в областной бюджет Новосибирской области, на общую сумму 88,2 млн рублей; одной промышленной организации предоставлены налоговые льготы по налогу на имущество организаций в размере 1,6 млн рублей.</w:t>
      </w:r>
      <w:r>
        <w:rPr>
          <w:rFonts w:ascii="Times New Roman" w:hAnsi="Times New Roman"/>
          <w:sz w:val="40"/>
          <w:szCs w:val="40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hd w:val="clear" w:color="ffffff" w:themeColor="background1" w:fill="ffffff" w:themeFill="background1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2024 году принят закон Новосибирской области, предусматривающий налогоплательщикам налога на прибыль организаций право на применение инвестиционного налогового вычета в отношении расходов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научно-исследовательские и опытно-конструкторские работы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Комиссия решила:</w:t>
      </w:r>
      <w:r>
        <w:rPr>
          <w:rFonts w:eastAsia="Calibri"/>
          <w:bCs/>
          <w:color w:val="000000"/>
          <w:sz w:val="28"/>
          <w:szCs w:val="28"/>
        </w:rPr>
      </w:r>
      <w:r>
        <w:rPr>
          <w:rFonts w:eastAsia="Calibri"/>
          <w:bCs/>
          <w:color w:val="000000"/>
          <w:sz w:val="28"/>
          <w:szCs w:val="28"/>
        </w:rPr>
      </w:r>
    </w:p>
    <w:p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1. </w:t>
      </w:r>
      <w:r>
        <w:rPr>
          <w:rFonts w:eastAsia="Calibri"/>
          <w:sz w:val="28"/>
          <w:szCs w:val="28"/>
          <w:lang w:eastAsia="en-US"/>
        </w:rPr>
        <w:t xml:space="preserve">Информацию </w:t>
      </w:r>
      <w:r>
        <w:rPr>
          <w:sz w:val="28"/>
          <w:szCs w:val="28"/>
        </w:rPr>
        <w:t xml:space="preserve">об итогах развития региональной промышленности в 2024 году и задачах на 2025 год</w:t>
      </w:r>
      <w:r>
        <w:rPr>
          <w:rFonts w:eastAsia="Calibri"/>
          <w:bCs/>
          <w:color w:val="000000"/>
          <w:sz w:val="28"/>
          <w:szCs w:val="28"/>
        </w:rPr>
        <w:t xml:space="preserve"> принять к сведению.</w:t>
      </w:r>
      <w:r>
        <w:rPr>
          <w:rFonts w:eastAsia="Calibri"/>
          <w:bCs/>
          <w:color w:val="000000"/>
          <w:sz w:val="28"/>
          <w:szCs w:val="28"/>
        </w:rPr>
      </w:r>
      <w:r>
        <w:rPr>
          <w:rFonts w:eastAsia="Calibri"/>
          <w:bCs/>
          <w:color w:val="00000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2. Рекомендовать Минпромторгу НСО</w:t>
      </w:r>
      <w:r>
        <w:rPr>
          <w:color w:val="000000"/>
          <w:sz w:val="28"/>
          <w:szCs w:val="28"/>
        </w:rPr>
        <w:t xml:space="preserve"> продолжить реализацию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государственной политики в сфере промышленности, направленной на обеспечение условий для развития промышленного и научно-технического потенциала Новосибирской 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6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Председателя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Правительства Новосибирской области                                                  В.М. Знатков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framePr w:wrap="around" w:vAnchor="text" w:hAnchor="margin" w:xAlign="center" w:y="1"/>
      <w:rPr>
        <w:rStyle w:val="918"/>
      </w:rPr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76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740" w:leader="none"/>
        </w:tabs>
        <w:ind w:left="1740" w:hanging="102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500" w:leader="none"/>
        </w:tabs>
        <w:ind w:left="15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220" w:leader="none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940" w:leader="none"/>
        </w:tabs>
        <w:ind w:left="29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660" w:leader="none"/>
        </w:tabs>
        <w:ind w:left="36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380" w:leader="none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100" w:leader="none"/>
        </w:tabs>
        <w:ind w:left="51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820" w:leader="none"/>
        </w:tabs>
        <w:ind w:left="58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540" w:leader="none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260" w:leader="none"/>
        </w:tabs>
        <w:ind w:left="726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742"/>
    <w:link w:val="733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742"/>
    <w:link w:val="734"/>
    <w:uiPriority w:val="9"/>
    <w:rPr>
      <w:rFonts w:ascii="Arial" w:hAnsi="Arial" w:eastAsia="Arial" w:cs="Arial"/>
      <w:sz w:val="34"/>
    </w:rPr>
  </w:style>
  <w:style w:type="character" w:styleId="698">
    <w:name w:val="Heading 3 Char"/>
    <w:basedOn w:val="742"/>
    <w:link w:val="735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42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42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42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42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42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42"/>
    <w:link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42"/>
    <w:link w:val="755"/>
    <w:uiPriority w:val="10"/>
    <w:rPr>
      <w:sz w:val="48"/>
      <w:szCs w:val="48"/>
    </w:rPr>
  </w:style>
  <w:style w:type="character" w:styleId="706">
    <w:name w:val="Subtitle Char"/>
    <w:basedOn w:val="742"/>
    <w:link w:val="757"/>
    <w:uiPriority w:val="11"/>
    <w:rPr>
      <w:sz w:val="24"/>
      <w:szCs w:val="24"/>
    </w:rPr>
  </w:style>
  <w:style w:type="character" w:styleId="707">
    <w:name w:val="Quote Char"/>
    <w:link w:val="759"/>
    <w:uiPriority w:val="29"/>
    <w:rPr>
      <w:i/>
    </w:rPr>
  </w:style>
  <w:style w:type="character" w:styleId="708">
    <w:name w:val="Intense Quote Char"/>
    <w:link w:val="761"/>
    <w:uiPriority w:val="30"/>
    <w:rPr>
      <w:i/>
    </w:rPr>
  </w:style>
  <w:style w:type="character" w:styleId="709">
    <w:name w:val="Header Char"/>
    <w:basedOn w:val="742"/>
    <w:link w:val="763"/>
    <w:uiPriority w:val="99"/>
  </w:style>
  <w:style w:type="character" w:styleId="710">
    <w:name w:val="Caption Char"/>
    <w:basedOn w:val="767"/>
    <w:link w:val="765"/>
    <w:uiPriority w:val="99"/>
  </w:style>
  <w:style w:type="table" w:styleId="711">
    <w:name w:val="Plain Table 1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4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1">
    <w:name w:val="Grid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3">
    <w:name w:val="List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9">
    <w:name w:val="List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0">
    <w:name w:val="Footnote Text Char"/>
    <w:link w:val="896"/>
    <w:uiPriority w:val="99"/>
    <w:rPr>
      <w:sz w:val="18"/>
    </w:rPr>
  </w:style>
  <w:style w:type="character" w:styleId="731">
    <w:name w:val="Endnote Text Char"/>
    <w:link w:val="899"/>
    <w:uiPriority w:val="99"/>
    <w:rPr>
      <w:sz w:val="20"/>
    </w:rPr>
  </w:style>
  <w:style w:type="paragraph" w:styleId="732" w:default="1">
    <w:name w:val="Normal"/>
    <w:qFormat/>
  </w:style>
  <w:style w:type="paragraph" w:styleId="733">
    <w:name w:val="Heading 1"/>
    <w:basedOn w:val="732"/>
    <w:next w:val="732"/>
    <w:link w:val="745"/>
    <w:qFormat/>
    <w:pPr>
      <w:keepNext/>
      <w:jc w:val="both"/>
      <w:outlineLvl w:val="0"/>
    </w:pPr>
    <w:rPr>
      <w:color w:val="000000"/>
      <w:sz w:val="28"/>
    </w:rPr>
  </w:style>
  <w:style w:type="paragraph" w:styleId="734">
    <w:name w:val="Heading 2"/>
    <w:basedOn w:val="732"/>
    <w:next w:val="732"/>
    <w:link w:val="746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735">
    <w:name w:val="Heading 3"/>
    <w:basedOn w:val="732"/>
    <w:next w:val="732"/>
    <w:link w:val="74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6">
    <w:name w:val="Heading 4"/>
    <w:basedOn w:val="732"/>
    <w:next w:val="732"/>
    <w:link w:val="74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732"/>
    <w:next w:val="732"/>
    <w:link w:val="74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732"/>
    <w:next w:val="732"/>
    <w:link w:val="75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732"/>
    <w:next w:val="732"/>
    <w:link w:val="75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732"/>
    <w:next w:val="732"/>
    <w:link w:val="75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732"/>
    <w:next w:val="732"/>
    <w:link w:val="75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Заголовок 1 Знак"/>
    <w:link w:val="733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734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link w:val="735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No Spacing"/>
    <w:uiPriority w:val="1"/>
    <w:qFormat/>
    <w:rPr>
      <w:lang w:eastAsia="zh-CN"/>
    </w:rPr>
  </w:style>
  <w:style w:type="paragraph" w:styleId="755">
    <w:name w:val="Title"/>
    <w:basedOn w:val="732"/>
    <w:next w:val="732"/>
    <w:link w:val="75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6" w:customStyle="1">
    <w:name w:val="Заголовок Знак"/>
    <w:link w:val="755"/>
    <w:uiPriority w:val="10"/>
    <w:rPr>
      <w:sz w:val="48"/>
      <w:szCs w:val="48"/>
    </w:rPr>
  </w:style>
  <w:style w:type="paragraph" w:styleId="757">
    <w:name w:val="Subtitle"/>
    <w:basedOn w:val="732"/>
    <w:next w:val="732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32"/>
    <w:next w:val="732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2"/>
    <w:next w:val="732"/>
    <w:link w:val="76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32"/>
    <w:link w:val="764"/>
    <w:uiPriority w:val="99"/>
    <w:pPr>
      <w:tabs>
        <w:tab w:val="center" w:pos="4677" w:leader="none"/>
        <w:tab w:val="right" w:pos="9355" w:leader="none"/>
      </w:tabs>
    </w:pPr>
  </w:style>
  <w:style w:type="character" w:styleId="764" w:customStyle="1">
    <w:name w:val="Верхний колонтитул Знак"/>
    <w:link w:val="763"/>
    <w:uiPriority w:val="99"/>
  </w:style>
  <w:style w:type="paragraph" w:styleId="765">
    <w:name w:val="Footer"/>
    <w:basedOn w:val="732"/>
    <w:link w:val="768"/>
    <w:pPr>
      <w:tabs>
        <w:tab w:val="center" w:pos="4677" w:leader="none"/>
        <w:tab w:val="right" w:pos="9355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8" w:customStyle="1">
    <w:name w:val="Нижний колонтитул Знак"/>
    <w:link w:val="765"/>
    <w:uiPriority w:val="99"/>
  </w:style>
  <w:style w:type="table" w:styleId="76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5">
    <w:name w:val="Hyperlink"/>
    <w:uiPriority w:val="99"/>
    <w:unhideWhenUsed/>
    <w:rPr>
      <w:color w:val="0000ff"/>
      <w:u w:val="single"/>
    </w:rPr>
  </w:style>
  <w:style w:type="paragraph" w:styleId="896">
    <w:name w:val="footnote text"/>
    <w:basedOn w:val="732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732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32"/>
    <w:next w:val="732"/>
    <w:uiPriority w:val="39"/>
    <w:unhideWhenUsed/>
    <w:pPr>
      <w:spacing w:after="57"/>
    </w:pPr>
  </w:style>
  <w:style w:type="paragraph" w:styleId="903">
    <w:name w:val="toc 2"/>
    <w:basedOn w:val="732"/>
    <w:next w:val="732"/>
    <w:uiPriority w:val="39"/>
    <w:unhideWhenUsed/>
    <w:pPr>
      <w:spacing w:after="57"/>
      <w:ind w:left="283"/>
    </w:pPr>
  </w:style>
  <w:style w:type="paragraph" w:styleId="904">
    <w:name w:val="toc 3"/>
    <w:basedOn w:val="732"/>
    <w:next w:val="732"/>
    <w:uiPriority w:val="39"/>
    <w:unhideWhenUsed/>
    <w:pPr>
      <w:spacing w:after="57"/>
      <w:ind w:left="567"/>
    </w:pPr>
  </w:style>
  <w:style w:type="paragraph" w:styleId="905">
    <w:name w:val="toc 4"/>
    <w:basedOn w:val="732"/>
    <w:next w:val="732"/>
    <w:uiPriority w:val="39"/>
    <w:unhideWhenUsed/>
    <w:pPr>
      <w:spacing w:after="57"/>
      <w:ind w:left="850"/>
    </w:pPr>
  </w:style>
  <w:style w:type="paragraph" w:styleId="906">
    <w:name w:val="toc 5"/>
    <w:basedOn w:val="732"/>
    <w:next w:val="732"/>
    <w:uiPriority w:val="39"/>
    <w:unhideWhenUsed/>
    <w:pPr>
      <w:spacing w:after="57"/>
      <w:ind w:left="1134"/>
    </w:pPr>
  </w:style>
  <w:style w:type="paragraph" w:styleId="907">
    <w:name w:val="toc 6"/>
    <w:basedOn w:val="732"/>
    <w:next w:val="732"/>
    <w:uiPriority w:val="39"/>
    <w:unhideWhenUsed/>
    <w:pPr>
      <w:spacing w:after="57"/>
      <w:ind w:left="1417"/>
    </w:pPr>
  </w:style>
  <w:style w:type="paragraph" w:styleId="908">
    <w:name w:val="toc 7"/>
    <w:basedOn w:val="732"/>
    <w:next w:val="732"/>
    <w:uiPriority w:val="39"/>
    <w:unhideWhenUsed/>
    <w:pPr>
      <w:spacing w:after="57"/>
      <w:ind w:left="1701"/>
    </w:pPr>
  </w:style>
  <w:style w:type="paragraph" w:styleId="909">
    <w:name w:val="toc 8"/>
    <w:basedOn w:val="732"/>
    <w:next w:val="732"/>
    <w:uiPriority w:val="39"/>
    <w:unhideWhenUsed/>
    <w:pPr>
      <w:spacing w:after="57"/>
      <w:ind w:left="1984"/>
    </w:pPr>
  </w:style>
  <w:style w:type="paragraph" w:styleId="910">
    <w:name w:val="toc 9"/>
    <w:basedOn w:val="732"/>
    <w:next w:val="732"/>
    <w:uiPriority w:val="39"/>
    <w:unhideWhenUsed/>
    <w:pPr>
      <w:spacing w:after="57"/>
      <w:ind w:left="2268"/>
    </w:pPr>
  </w:style>
  <w:style w:type="paragraph" w:styleId="911">
    <w:name w:val="TOC Heading"/>
    <w:uiPriority w:val="39"/>
    <w:unhideWhenUsed/>
    <w:rPr>
      <w:lang w:eastAsia="zh-CN"/>
    </w:rPr>
  </w:style>
  <w:style w:type="paragraph" w:styleId="912">
    <w:name w:val="table of figures"/>
    <w:basedOn w:val="732"/>
    <w:next w:val="732"/>
    <w:uiPriority w:val="99"/>
    <w:unhideWhenUsed/>
  </w:style>
  <w:style w:type="paragraph" w:styleId="913">
    <w:name w:val="Body Text 2"/>
    <w:basedOn w:val="732"/>
    <w:pPr>
      <w:jc w:val="center"/>
    </w:pPr>
    <w:rPr>
      <w:sz w:val="28"/>
    </w:rPr>
  </w:style>
  <w:style w:type="paragraph" w:styleId="914">
    <w:name w:val="Body Text Indent 3"/>
    <w:basedOn w:val="732"/>
    <w:pPr>
      <w:ind w:firstLine="720"/>
      <w:jc w:val="both"/>
    </w:pPr>
    <w:rPr>
      <w:sz w:val="26"/>
    </w:rPr>
  </w:style>
  <w:style w:type="paragraph" w:styleId="915">
    <w:name w:val="Body Text"/>
    <w:basedOn w:val="732"/>
    <w:link w:val="924"/>
    <w:pPr>
      <w:jc w:val="both"/>
    </w:pPr>
    <w:rPr>
      <w:sz w:val="28"/>
    </w:rPr>
  </w:style>
  <w:style w:type="paragraph" w:styleId="916">
    <w:name w:val="Body Text Indent"/>
    <w:basedOn w:val="732"/>
    <w:pPr>
      <w:ind w:firstLine="709"/>
      <w:jc w:val="both"/>
    </w:pPr>
    <w:rPr>
      <w:color w:val="000000"/>
      <w:sz w:val="26"/>
    </w:rPr>
  </w:style>
  <w:style w:type="paragraph" w:styleId="917" w:customStyle="1">
    <w:name w:val="ConsNormal"/>
    <w:pPr>
      <w:ind w:right="19772" w:firstLine="720"/>
    </w:pPr>
    <w:rPr>
      <w:rFonts w:ascii="Arial" w:hAnsi="Arial" w:cs="Arial"/>
    </w:rPr>
  </w:style>
  <w:style w:type="character" w:styleId="918">
    <w:name w:val="page number"/>
    <w:basedOn w:val="742"/>
  </w:style>
  <w:style w:type="paragraph" w:styleId="919">
    <w:name w:val="Balloon Text"/>
    <w:basedOn w:val="732"/>
    <w:semiHidden/>
    <w:rPr>
      <w:rFonts w:ascii="Tahoma" w:hAnsi="Tahoma" w:cs="Tahoma"/>
      <w:sz w:val="16"/>
      <w:szCs w:val="16"/>
    </w:rPr>
  </w:style>
  <w:style w:type="paragraph" w:styleId="920">
    <w:name w:val="Body Text Indent 2"/>
    <w:basedOn w:val="732"/>
    <w:pPr>
      <w:ind w:firstLine="709"/>
      <w:jc w:val="both"/>
    </w:pPr>
    <w:rPr>
      <w:sz w:val="28"/>
    </w:rPr>
  </w:style>
  <w:style w:type="paragraph" w:styleId="921">
    <w:name w:val="List Paragraph"/>
    <w:basedOn w:val="732"/>
    <w:pPr>
      <w:ind w:left="720"/>
    </w:pPr>
    <w:rPr>
      <w:sz w:val="24"/>
      <w:szCs w:val="24"/>
    </w:rPr>
  </w:style>
  <w:style w:type="paragraph" w:styleId="922" w:customStyle="1">
    <w:name w:val="ConsPlusNormal"/>
    <w:pPr>
      <w:ind w:firstLine="720"/>
    </w:pPr>
    <w:rPr>
      <w:rFonts w:ascii="Arial" w:hAnsi="Arial" w:cs="Arial"/>
    </w:rPr>
  </w:style>
  <w:style w:type="paragraph" w:styleId="923" w:customStyle="1">
    <w:name w:val="Знак"/>
    <w:basedOn w:val="73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924" w:customStyle="1">
    <w:name w:val="Основной текст Знак"/>
    <w:link w:val="915"/>
    <w:rPr>
      <w:sz w:val="28"/>
    </w:rPr>
  </w:style>
  <w:style w:type="paragraph" w:styleId="925">
    <w:name w:val="Normal (Web)"/>
    <w:basedOn w:val="73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26</cp:revision>
  <dcterms:created xsi:type="dcterms:W3CDTF">2023-06-22T03:40:00Z</dcterms:created>
  <dcterms:modified xsi:type="dcterms:W3CDTF">2025-04-29T09:40:35Z</dcterms:modified>
  <cp:version>917504</cp:version>
</cp:coreProperties>
</file>