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8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ИНФОРМАЦИОННЫЙ МАТЕРИАЛ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</w:r>
    </w:p>
    <w:p>
      <w:pPr>
        <w:pStyle w:val="798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пострадавших в Новосибирской области с тяжелыми последствиями и со смертельным исходом на производ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стве в 2024 году 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highlight w:val="yellow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данным Государственной инспекции труда в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полному кругу организаций с учетом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микропредприятий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98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br w:type="page" w:clear="all"/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99"/>
        <w:spacing w:before="0" w:beforeAutospacing="0" w:line="24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Информация о пострадавших на производстве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799"/>
        <w:spacing w:before="0" w:beforeAutospacing="0" w:line="24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с тяжелыми последствиями </w:t>
      </w:r>
      <w:r>
        <w:rPr>
          <w:b/>
          <w:color w:val="000000" w:themeColor="text1"/>
        </w:rPr>
        <w:t xml:space="preserve">и </w:t>
      </w:r>
      <w:r>
        <w:rPr>
          <w:b/>
          <w:color w:val="000000" w:themeColor="text1"/>
        </w:rPr>
        <w:t xml:space="preserve">со смертельным исходом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798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данным Гострудинспекции в Новосибирской области,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98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 полному кругу организаций с учетом микропредприятий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before="0"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Таблица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before="0"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7958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32"/>
        <w:gridCol w:w="2409"/>
        <w:gridCol w:w="2417"/>
      </w:tblGrid>
      <w:tr>
        <w:trPr>
          <w:trHeight w:val="512"/>
        </w:trPr>
        <w:tblPrEx/>
        <w:tc>
          <w:tcPr>
            <w:tcW w:w="3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Количество несчастных случаев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375"/>
        </w:trPr>
        <w:tblPrEx/>
        <w:tc>
          <w:tcPr>
            <w:tcW w:w="3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/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(</w:t>
            </w:r>
            <m:oMath>
              <m:r>
                <m:rPr/>
                <w:rPr>
                  <w:rFonts w:ascii="Cambria Math" w:hAnsi="Cambria Math" w:eastAsia="Cambria Math" w:cs="Cambria Math"/>
                  <w:color w:val="ff0000"/>
                  <w:sz w:val="28"/>
                  <w:szCs w:val="28"/>
                  <w:lang w:eastAsia="ru-RU"/>
                </w:rPr>
                <m:t>↑</m:t>
              </m:r>
            </m:oMath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38,2%)</w:t>
            </w:r>
            <w:r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375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798"/>
              <w:spacing w:before="0"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пострадавших (чел.)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(</w:t>
            </w:r>
            <m:oMath>
              <m:r>
                <m:rPr/>
                <w:rPr>
                  <w:rFonts w:ascii="Cambria Math" w:hAnsi="Cambria Math" w:eastAsia="Cambria Math" w:cs="Cambria Math"/>
                  <w:color w:val="ff0000"/>
                  <w:sz w:val="28"/>
                  <w:szCs w:val="28"/>
                  <w:lang w:eastAsia="ru-RU"/>
                </w:rPr>
                <m:t>↑</m:t>
              </m:r>
            </m:oMath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37,6%)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217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378"/>
        </w:trPr>
        <w:tblPrEx/>
        <w:tc>
          <w:tcPr>
            <w:tcW w:w="3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(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ff0000"/>
                  <w:sz w:val="28"/>
                  <w:szCs w:val="28"/>
                  <w:lang w:eastAsia="ru-RU"/>
                </w:rPr>
                <m:t>↑</m:t>
              </m:r>
            </m:oMath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45,2%)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535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(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ff0000"/>
                  <w:sz w:val="28"/>
                  <w:szCs w:val="28"/>
                  <w:lang w:eastAsia="ru-RU"/>
                </w:rPr>
                <m:t>↑</m:t>
              </m:r>
            </m:oMath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22,2%)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260"/>
        </w:trPr>
        <w:tblPrEx/>
        <w:tc>
          <w:tcPr>
            <w:tcW w:w="7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874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пострадавших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одиночных несчастных случаях (чел.):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0"/>
        </w:trPr>
        <w:tblPrEx/>
        <w:tc>
          <w:tcPr>
            <w:tcW w:w="3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525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679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пострадавших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групповых несчастных случаях (чел.):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несчастных случаев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несчастных случаев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570"/>
        </w:trPr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 тяжелыми последствиями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yellow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yellow"/>
                <w14:ligatures w14:val="none"/>
              </w:rPr>
            </w:r>
          </w:p>
        </w:tc>
      </w:tr>
      <w:tr>
        <w:trPr/>
        <w:tblPrEx/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bottom"/>
          </w:tcPr>
          <w:p>
            <w:pPr>
              <w:pStyle w:val="798"/>
              <w:spacing w:before="0" w:after="0" w:afterAutospacing="0" w:line="240" w:lineRule="auto"/>
              <w:ind w:left="283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со смертельным исходом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</w:tbl>
    <w:p>
      <w:pPr>
        <w:numPr>
          <w:numId w:val="0"/>
          <w:ilvl w:val="0"/>
        </w:numPr>
        <w:shd w:val="nil" w:color="000000"/>
        <w:spacing w:after="0" w:afterAutospacing="0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10"/>
          <w:szCs w:val="10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10"/>
          <w:szCs w:val="10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0"/>
          <w:szCs w:val="10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0"/>
          <w:szCs w:val="10"/>
          <w:u w:val="none"/>
        </w:rPr>
      </w:r>
    </w:p>
    <w:p>
      <w:pPr>
        <w:shd w:val="nil" w:color="auto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798"/>
        <w:numPr>
          <w:numId w:val="0"/>
          <w:ilvl w:val="0"/>
        </w:numPr>
        <w:shd w:val="nil" w:color="auto"/>
        <w:spacing w:after="0" w:afterAutospacing="0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Сведения о количестве групповых несчастных случаев (с тяжелыми последствиями), несчастных случаев с тяжелыми последствиями и  со смертельным исходом (происшедших и расследованных за отчетный период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798"/>
        <w:keepNext/>
        <w:numPr>
          <w:numId w:val="0"/>
          <w:ilvl w:val="0"/>
        </w:numPr>
        <w:spacing w:before="0" w:after="0" w:afterAutospacing="0" w:line="240" w:lineRule="auto"/>
        <w:ind w:left="0" w:firstLine="0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блица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keepNext/>
        <w:numPr>
          <w:numId w:val="0"/>
          <w:ilvl w:val="0"/>
        </w:numPr>
        <w:spacing w:before="0" w:after="0" w:afterAutospacing="0" w:line="240" w:lineRule="auto"/>
        <w:ind w:left="0" w:firstLine="0"/>
        <w:contextualSpacing/>
        <w:jc w:val="right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</w:p>
    <w:tbl>
      <w:tblPr>
        <w:tblW w:w="10118" w:type="dxa"/>
        <w:tblInd w:w="-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12"/>
        <w:gridCol w:w="850"/>
        <w:gridCol w:w="747"/>
      </w:tblGrid>
      <w:tr>
        <w:trPr>
          <w:trHeight w:val="372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Наименование причины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98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Конструктивные недостатки и недостаточная надежность машин, механизмов,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2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Несовершенство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Эксплуатация неисправных машин, механизмов,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43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Нарушение технологического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Нарушение требований безопасности при эксплуатации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7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Нарушение правил 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Неудовлетворительная организация производства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Недостатки в организации и проведении подготовки работников по охране труда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Неудовлетворительное содержание и недостатки в организации рабочих мест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Нарушение работником трудового распорядка и дисциплины труда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Неприменение работником средств индивидуальной защиты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Неприменение средств коллективной защиты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Прочие причины, квалифицированные по материалам расследования несчастных случаев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Неудовлетворительное техническое состояние здания, сооружения, территории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Использование пострадавшего не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1"/>
        </w:trPr>
        <w:tblPrEx/>
        <w:tc>
          <w:tcPr>
            <w:tcW w:w="7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8"/>
        <w:shd w:val="nil" w:color="auto"/>
        <w:spacing w:after="0" w:afterAutospacing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общей структуре причин тяжелых и смертельных несчастных случаев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(в том числе групповых) на производстве, происшедших в 2024 году, наибольший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удельный вес (56,8%) занимают типичные причины организационного характера: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24,1% неудовлетворительная организация производства работ;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15,6% нарушение технологического процесса;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11,4% нарушения правил дорожного движения;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5,7% недостатки в организации и проведении подготовки работников по охране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auto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</w:r>
    </w:p>
    <w:p>
      <w:pPr>
        <w:pStyle w:val="798"/>
        <w:keepNext/>
        <w:numPr>
          <w:numId w:val="0"/>
          <w:ilvl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Сведения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причинах несчастных случаев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со смертельным исходом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(связанных с производством)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keepNext/>
        <w:numPr>
          <w:numId w:val="0"/>
          <w:ilvl w:val="0"/>
        </w:numPr>
        <w:spacing w:before="0" w:after="0" w:line="240" w:lineRule="auto"/>
        <w:ind w:left="0" w:firstLine="0"/>
        <w:contextualSpacing/>
        <w:jc w:val="right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98"/>
        <w:keepNext/>
        <w:numPr>
          <w:numId w:val="0"/>
          <w:ilvl w:val="0"/>
        </w:numPr>
        <w:spacing w:before="0" w:after="0" w:line="240" w:lineRule="auto"/>
        <w:ind w:left="0" w:firstLine="0"/>
        <w:contextualSpacing/>
        <w:jc w:val="right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keepNext/>
        <w:numPr>
          <w:numId w:val="0"/>
          <w:ilvl w:val="0"/>
        </w:numPr>
        <w:spacing w:before="0" w:after="0" w:line="240" w:lineRule="auto"/>
        <w:ind w:left="0" w:firstLine="0"/>
        <w:contextualSpacing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tbl>
      <w:tblPr>
        <w:tblW w:w="1011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62"/>
        <w:gridCol w:w="935"/>
        <w:gridCol w:w="821"/>
      </w:tblGrid>
      <w:tr>
        <w:trPr>
          <w:trHeight w:val="593"/>
        </w:trPr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  <w:t xml:space="preserve">Наименование причины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Конструктивные недостатки и недостаточная надежность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Эксплуатация неисправных машин, механизмов, оборудования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99"/>
        </w:trPr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contextualSpacing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Нарушение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Нарушение требований безопасности при эксплуатации транспортных средств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Нарушение правил дорожного движения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Неудовлетворительная организация производства работ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Недостатки в организации и проведении подготовки работников по охране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Неудовлетворительное содержание и недостатки в организации рабочих мест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Нарушение работником трудового распорядка и дисциплины труда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Неприменение работником средств индивидуальной защиты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Прочие причины, квалифицированные по материалам расследования несчастных случаев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Неудовлетворительное техническое состояние здания, сооружения, территории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Использование пострадавшего не по специальности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Несовершенство технологического процесса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301"/>
        </w:trPr>
        <w:tblPrEx/>
        <w:tc>
          <w:tcPr>
            <w:tcW w:w="8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tabs>
                <w:tab w:val="left" w:pos="567" w:leader="none"/>
                <w:tab w:val="clear" w:pos="708" w:leader="none"/>
                <w:tab w:val="left" w:pos="1134" w:leader="none"/>
              </w:tabs>
              <w:spacing w:before="0" w:after="0" w:afterAutospacing="0" w:line="240" w:lineRule="auto"/>
              <w:ind w:right="-2" w:firstLine="0"/>
              <w:jc w:val="left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before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</w:tr>
    </w:tbl>
    <w:p>
      <w:pPr>
        <w:pStyle w:val="798"/>
        <w:spacing w:before="0" w:after="200" w:line="240" w:lineRule="auto"/>
        <w:contextualSpacing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общей структуре причин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несчастных случаев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 смертельным исходом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производстве, происшедших в 2024 году, наибольший удельный вес (53,2%) занимают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типичные причины организационного характера: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25% неудовлетворительная организация производства работ;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14,3%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неудовлетворительное содержание и недостатки в организации рабочих мест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line="283" w:lineRule="atLeast"/>
        <w:ind w:left="0"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13,9% нарушение правил дорожного движения.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98"/>
        <w:spacing w:before="0" w:after="0" w:afterAutospacing="0" w:line="240" w:lineRule="auto"/>
        <w:ind w:left="0" w:right="0" w:firstLine="709"/>
        <w:contextualSpacing w:val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0" w:afterAutospacing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Сведения о количестве групповых несчастных случаев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(с тяжелыми последствиями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), несчастных случаев с тяжелыми последствиями и со смертельным исходом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 видам экономической деятельности (ОКВЭД)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200" w:line="240" w:lineRule="auto"/>
        <w:ind w:left="0" w:firstLine="0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4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86"/>
        <w:gridCol w:w="850"/>
        <w:gridCol w:w="993"/>
      </w:tblGrid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ОКВЭД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7"/>
        </w:trPr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Добыча полезных ископаемых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80"/>
        </w:trPr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9"/>
        </w:trPr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/>
        </w:trPr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75"/>
        </w:trPr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Торговля оптовая и розничная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Транспортировка и хранение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гостиниц и предприятий общественного питания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информации и связи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финансовая и страховая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профессиональная научная и техническая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административная и сопутствующие дополнительны услуги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Государственное управление и обеспечение военной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культуры, спорта, организации досуга и развития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Предоставление прочих видов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8"/>
        <w:numPr>
          <w:numId w:val="0"/>
          <w:ilvl w:val="0"/>
        </w:numPr>
        <w:shd w:val="nil" w:color="000000"/>
        <w:spacing w:before="0" w:after="200" w:line="240" w:lineRule="auto"/>
        <w:ind w:left="0" w:firstLine="0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4343c"/>
          <w:sz w:val="28"/>
          <w:szCs w:val="28"/>
        </w:rPr>
        <w:t xml:space="preserve">В 2024 году по сравнению с 2023 годом количество </w:t>
      </w:r>
      <w:r>
        <w:rPr>
          <w:rFonts w:ascii="Times New Roman" w:hAnsi="Times New Roman" w:eastAsia="Times New Roman" w:cs="Times New Roman"/>
          <w:color w:val="34343c"/>
          <w:sz w:val="28"/>
          <w:szCs w:val="28"/>
        </w:rPr>
        <w:t xml:space="preserve">несчастных случаев на производстве: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numId w:val="0"/>
          <w:ilvl w:val="0"/>
        </w:numPr>
        <w:shd w:val="nil" w:color="000000"/>
        <w:spacing w:before="0" w:after="0" w:afterAutospacing="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снизилос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организациях сферы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транспортировки и хранения – с 21 до 18 случаев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сельского хозяйства, охоты и лесного хозяйства – с 7 до 6;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государственного управления и обеспечения военной безопасности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4 до 2;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по операциям с недвижимым имуществ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с 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до 1;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в области культуры, спорта, организации досуга и развития – с 2 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 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деятельности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финансовой и страховой – с 1 до 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numPr>
          <w:numId w:val="0"/>
          <w:ilvl w:val="0"/>
        </w:numPr>
        <w:shd w:val="nil" w:color="000000"/>
        <w:spacing w:before="0" w:after="20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увеличилос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организациях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строительства – с 18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 35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случаев;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обрабаты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вающих производств – с 17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 обеспечению электрической энергией, газом и паром; кондиционированию воздуха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 7 до 11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профессиональной научной и технической деятельности – с 3 до 7;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административной и сопутствующих дополнительных услуг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с 1 до 5;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здравоохранения и социальных услуг – с 2 до 4;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добычи полезных ископаемых – с 4 до 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в области информации и связи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 1 до 4;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водоснабжения и водоотведения – с 0 до 1;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гостиниц и предприятий общественного питания – с 0 до 1;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numPr>
          <w:numId w:val="0"/>
          <w:ilvl w:val="0"/>
        </w:numPr>
        <w:shd w:val="nil" w:color="000000"/>
        <w:spacing w:before="0" w:after="20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на уровн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е 2023 года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торговли оптовой и розничной – 7;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образования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p>
      <w:pPr>
        <w:numPr>
          <w:numId w:val="0"/>
          <w:ilvl w:val="0"/>
        </w:numPr>
        <w:shd w:val="nil" w:color="000000"/>
        <w:spacing w:before="0" w:after="20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yellow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0" w:afterAutospacing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Сведения о количестве несчастных случаев со смертельным исходом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numPr>
          <w:numId w:val="0"/>
          <w:ilvl w:val="0"/>
        </w:numPr>
        <w:shd w:val="nil" w:color="000000"/>
        <w:spacing w:before="0" w:after="0" w:afterAutospacing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 видам экономической деятельности (ОКВЭД)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20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200" w:line="240" w:lineRule="auto"/>
        <w:ind w:left="0" w:firstLine="0"/>
        <w:contextualSpacing/>
        <w:jc w:val="right"/>
        <w:outlineLvl w:val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tbl>
      <w:tblPr>
        <w:tblW w:w="99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28"/>
        <w:gridCol w:w="789"/>
        <w:gridCol w:w="856"/>
      </w:tblGrid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ОКВЭД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r>
          </w:p>
        </w:tc>
      </w:tr>
      <w:tr>
        <w:trPr>
          <w:trHeight w:val="276"/>
        </w:trPr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Сельское хозяйство, охота и лесное хозяйство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7"/>
        </w:trPr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Добыча полезных ископаемых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80"/>
        </w:trPr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Торговля оптовая и розничная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Транспортировка и хранение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гостиниц и предприятий общественного питания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информации и связи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финансовая и страховая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по операциям с недвижимым имуществом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профессиональная научная и техническая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административная и сопутствующие дополнительны услуги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Государственное управление и обеспечение военной безопасности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Деятельность в области культуры, спорта, организации досуга и развития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Предоставление прочих видов услуг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8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numPr>
                <w:numId w:val="0"/>
                <w:ilvl w:val="0"/>
              </w:numPr>
              <w:shd w:val="nil" w:color="000000"/>
              <w:spacing w:before="0" w:after="0" w:afterAutospacing="0" w:line="240" w:lineRule="auto"/>
              <w:ind w:left="0" w:firstLine="0"/>
              <w:contextualSpacing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98"/>
              <w:spacing w:before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numPr>
          <w:numId w:val="0"/>
          <w:ilvl w:val="0"/>
        </w:numPr>
        <w:shd w:val="nil" w:color="000000"/>
        <w:spacing w:before="0" w:after="0" w:afterAutospacing="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0"/>
      </w:pPr>
      <w:r>
        <w:rPr>
          <w:rFonts w:ascii="Arial" w:hAnsi="Arial" w:eastAsia="Arial" w:cs="Arial"/>
          <w:color w:val="34343c"/>
          <w:sz w:val="23"/>
        </w:rPr>
      </w:r>
    </w:p>
    <w:p>
      <w:pPr>
        <w:pStyle w:val="798"/>
        <w:numPr>
          <w:numId w:val="0"/>
          <w:ilvl w:val="0"/>
        </w:numPr>
        <w:shd w:val="nil" w:color="000000"/>
        <w:spacing w:before="0" w:after="0" w:afterAutospacing="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2024 году по сравнению с 2023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годом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количество несчастных случаев на производстве: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numPr>
          <w:numId w:val="0"/>
          <w:ilvl w:val="0"/>
        </w:numPr>
        <w:shd w:val="nil" w:color="000000"/>
        <w:spacing w:before="0" w:after="0" w:afterAutospacing="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сн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изилось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транспортировки и хранения – с 7 до 6;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сельского хозяйства, охоты и лесного хозяйства – с 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до 1;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государственного управления и обеспечения вое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нной безопасности – с 2 до 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деятельности по операциям с 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движимым имуществом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–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 до 0;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numPr>
          <w:numId w:val="0"/>
          <w:ilvl w:val="0"/>
        </w:numPr>
        <w:shd w:val="nil" w:color="000000"/>
        <w:spacing w:before="0" w:after="0" w:afterAutospacing="0" w:line="240" w:lineRule="auto"/>
        <w:ind w:left="0" w:right="0" w:firstLine="567"/>
        <w:contextualSpacing/>
        <w:jc w:val="both"/>
        <w:outlineLvl w:val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увеличилось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организациях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строительства – с 10 до 13 случаев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обрабатывающих производств – 4 до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торговли оптовой и розничной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 до 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профессиональной научной и технической деятельности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с 0 до 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в области информации и связи,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деятельности административной и сопутствующих дополнительных услуг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образование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– c 0 до 1;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98"/>
        <w:numPr>
          <w:numId w:val="0"/>
          <w:ilvl w:val="0"/>
        </w:numPr>
        <w:suppressLineNumbers w:val="0"/>
        <w:shd w:val="nil" w:color="000000"/>
        <w:spacing w:before="0" w:after="0" w:afterAutospacing="0" w:line="240" w:lineRule="auto"/>
        <w:ind w:left="0" w:firstLine="720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на уровне 2023 года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организациях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обеспечению электрической энергией, газом и паром; кондиционированию воздуха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2" w:left="1418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character" w:styleId="796">
    <w:name w:val="footnote reference"/>
    <w:basedOn w:val="831"/>
    <w:uiPriority w:val="99"/>
    <w:unhideWhenUsed/>
    <w:rPr>
      <w:vertAlign w:val="superscript"/>
    </w:rPr>
  </w:style>
  <w:style w:type="character" w:styleId="797">
    <w:name w:val="endnote reference"/>
    <w:basedOn w:val="831"/>
    <w:uiPriority w:val="99"/>
    <w:semiHidden/>
    <w:unhideWhenUsed/>
    <w:rPr>
      <w:vertAlign w:val="superscript"/>
    </w:rPr>
  </w:style>
  <w:style w:type="paragraph" w:styleId="798" w:default="1">
    <w:name w:val="Normal"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9">
    <w:name w:val="Heading 1"/>
    <w:basedOn w:val="798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800">
    <w:name w:val="Heading 2"/>
    <w:basedOn w:val="79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1">
    <w:name w:val="Heading 3"/>
    <w:basedOn w:val="7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2">
    <w:name w:val="Heading 4"/>
    <w:basedOn w:val="79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79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79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79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79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7">
    <w:name w:val="Heading 9"/>
    <w:basedOn w:val="79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>
    <w:name w:val="Heading 1 Char"/>
    <w:basedOn w:val="831"/>
    <w:uiPriority w:val="9"/>
    <w:qFormat/>
    <w:rPr>
      <w:rFonts w:ascii="Arial" w:hAnsi="Arial" w:eastAsia="Arial" w:cs="Arial"/>
      <w:sz w:val="40"/>
      <w:szCs w:val="40"/>
    </w:rPr>
  </w:style>
  <w:style w:type="character" w:styleId="809">
    <w:name w:val="Heading 2 Char"/>
    <w:basedOn w:val="831"/>
    <w:uiPriority w:val="9"/>
    <w:qFormat/>
    <w:rPr>
      <w:rFonts w:ascii="Arial" w:hAnsi="Arial" w:eastAsia="Arial" w:cs="Arial"/>
      <w:sz w:val="34"/>
    </w:rPr>
  </w:style>
  <w:style w:type="character" w:styleId="810">
    <w:name w:val="Heading 3 Char"/>
    <w:basedOn w:val="831"/>
    <w:uiPriority w:val="9"/>
    <w:qFormat/>
    <w:rPr>
      <w:rFonts w:ascii="Arial" w:hAnsi="Arial" w:eastAsia="Arial" w:cs="Arial"/>
      <w:sz w:val="30"/>
      <w:szCs w:val="30"/>
    </w:rPr>
  </w:style>
  <w:style w:type="character" w:styleId="811">
    <w:name w:val="Heading 4 Char"/>
    <w:basedOn w:val="83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2">
    <w:name w:val="Heading 5 Char"/>
    <w:basedOn w:val="83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3">
    <w:name w:val="Heading 6 Char"/>
    <w:basedOn w:val="83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4">
    <w:name w:val="Heading 7 Char"/>
    <w:basedOn w:val="83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8 Char"/>
    <w:basedOn w:val="83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6">
    <w:name w:val="Heading 9 Char"/>
    <w:basedOn w:val="83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7">
    <w:name w:val="Title Char"/>
    <w:basedOn w:val="831"/>
    <w:uiPriority w:val="10"/>
    <w:qFormat/>
    <w:rPr>
      <w:sz w:val="48"/>
      <w:szCs w:val="48"/>
    </w:rPr>
  </w:style>
  <w:style w:type="character" w:styleId="818">
    <w:name w:val="Subtitle Char"/>
    <w:basedOn w:val="831"/>
    <w:uiPriority w:val="11"/>
    <w:qFormat/>
    <w:rPr>
      <w:sz w:val="24"/>
      <w:szCs w:val="24"/>
    </w:rPr>
  </w:style>
  <w:style w:type="character" w:styleId="819">
    <w:name w:val="Quote Char"/>
    <w:uiPriority w:val="29"/>
    <w:qFormat/>
    <w:rPr>
      <w:i/>
    </w:rPr>
  </w:style>
  <w:style w:type="character" w:styleId="820">
    <w:name w:val="Intense Quote Char"/>
    <w:uiPriority w:val="30"/>
    <w:qFormat/>
    <w:rPr>
      <w:i/>
    </w:rPr>
  </w:style>
  <w:style w:type="character" w:styleId="821">
    <w:name w:val="Header Char"/>
    <w:basedOn w:val="831"/>
    <w:uiPriority w:val="99"/>
    <w:qFormat/>
  </w:style>
  <w:style w:type="character" w:styleId="822">
    <w:name w:val="Footer Char"/>
    <w:basedOn w:val="831"/>
    <w:uiPriority w:val="99"/>
    <w:qFormat/>
  </w:style>
  <w:style w:type="character" w:styleId="823">
    <w:name w:val="Caption Char"/>
    <w:uiPriority w:val="99"/>
    <w:qFormat/>
  </w:style>
  <w:style w:type="character" w:styleId="824">
    <w:name w:val="Интернет-ссылка"/>
    <w:uiPriority w:val="99"/>
    <w:unhideWhenUsed/>
    <w:rPr>
      <w:color w:val="0000ff" w:themeColor="hyperlink"/>
      <w:u w:val="single"/>
    </w:rPr>
  </w:style>
  <w:style w:type="character" w:styleId="825">
    <w:name w:val="Footnote Text Char"/>
    <w:uiPriority w:val="99"/>
    <w:qFormat/>
    <w:rPr>
      <w:sz w:val="18"/>
    </w:rPr>
  </w:style>
  <w:style w:type="character" w:styleId="826">
    <w:name w:val="Привязка сноски"/>
    <w:rPr>
      <w:vertAlign w:val="superscript"/>
    </w:rPr>
  </w:style>
  <w:style w:type="character" w:styleId="827">
    <w:name w:val="Footnote Characters"/>
    <w:uiPriority w:val="99"/>
    <w:unhideWhenUsed/>
    <w:qFormat/>
    <w:rPr>
      <w:vertAlign w:val="superscript"/>
    </w:rPr>
  </w:style>
  <w:style w:type="character" w:styleId="828">
    <w:name w:val="Endnote Text Char"/>
    <w:uiPriority w:val="99"/>
    <w:qFormat/>
    <w:rPr>
      <w:sz w:val="20"/>
    </w:rPr>
  </w:style>
  <w:style w:type="character" w:styleId="829">
    <w:name w:val="Привязка концевой сноски"/>
    <w:rPr>
      <w:vertAlign w:val="superscript"/>
    </w:rPr>
  </w:style>
  <w:style w:type="character" w:styleId="830">
    <w:name w:val="Endnote Characters"/>
    <w:uiPriority w:val="99"/>
    <w:semiHidden/>
    <w:unhideWhenUsed/>
    <w:qFormat/>
    <w:rPr>
      <w:vertAlign w:val="superscript"/>
    </w:rPr>
  </w:style>
  <w:style w:type="character" w:styleId="831" w:default="1">
    <w:name w:val="Default Paragraph Font"/>
    <w:uiPriority w:val="1"/>
    <w:semiHidden/>
    <w:unhideWhenUsed/>
    <w:qFormat/>
  </w:style>
  <w:style w:type="character" w:styleId="832" w:customStyle="1">
    <w:name w:val="Верхний колонтитул Знак"/>
    <w:basedOn w:val="831"/>
    <w:uiPriority w:val="99"/>
    <w:qFormat/>
  </w:style>
  <w:style w:type="character" w:styleId="833" w:customStyle="1">
    <w:name w:val="Нижний колонтитул Знак"/>
    <w:basedOn w:val="831"/>
    <w:uiPriority w:val="99"/>
    <w:qFormat/>
  </w:style>
  <w:style w:type="character" w:styleId="834" w:customStyle="1">
    <w:name w:val="Заголовок 1 Знак"/>
    <w:basedOn w:val="831"/>
    <w:uiPriority w:val="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35" w:customStyle="1">
    <w:name w:val="Текст выноски Знак"/>
    <w:basedOn w:val="831"/>
    <w:uiPriority w:val="99"/>
    <w:semiHidden/>
    <w:qFormat/>
    <w:rPr>
      <w:rFonts w:ascii="Tahoma" w:hAnsi="Tahoma" w:cs="Tahoma"/>
      <w:sz w:val="16"/>
      <w:szCs w:val="16"/>
    </w:rPr>
  </w:style>
  <w:style w:type="character" w:styleId="836" w:customStyle="1">
    <w:name w:val="Текст Знак"/>
    <w:basedOn w:val="831"/>
    <w:uiPriority w:val="99"/>
    <w:semiHidden/>
    <w:qFormat/>
    <w:rPr>
      <w:rFonts w:ascii="Calibri" w:hAnsi="Calibri" w:eastAsia="Calibri" w:cs="Times New Roman"/>
      <w:szCs w:val="21"/>
    </w:rPr>
  </w:style>
  <w:style w:type="paragraph" w:styleId="837">
    <w:name w:val="Заголовок"/>
    <w:basedOn w:val="798"/>
    <w:next w:val="83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8">
    <w:name w:val="Body Text"/>
    <w:basedOn w:val="798"/>
    <w:pPr>
      <w:spacing w:before="0" w:after="140" w:line="276" w:lineRule="auto"/>
    </w:pPr>
  </w:style>
  <w:style w:type="paragraph" w:styleId="839">
    <w:name w:val="List"/>
    <w:basedOn w:val="838"/>
    <w:rPr>
      <w:rFonts w:cs="Droid Sans Devanagari"/>
    </w:rPr>
  </w:style>
  <w:style w:type="paragraph" w:styleId="840">
    <w:name w:val="Caption"/>
    <w:basedOn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1">
    <w:name w:val="Указатель"/>
    <w:basedOn w:val="798"/>
    <w:qFormat/>
    <w:pPr>
      <w:suppressLineNumbers/>
    </w:pPr>
    <w:rPr>
      <w:rFonts w:cs="Droid Sans Devanagari"/>
    </w:rPr>
  </w:style>
  <w:style w:type="paragraph" w:styleId="842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itle"/>
    <w:basedOn w:val="79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44">
    <w:name w:val="Subtitle"/>
    <w:basedOn w:val="798"/>
    <w:uiPriority w:val="11"/>
    <w:qFormat/>
    <w:pPr>
      <w:spacing w:before="200" w:after="200"/>
    </w:pPr>
    <w:rPr>
      <w:sz w:val="24"/>
      <w:szCs w:val="24"/>
    </w:rPr>
  </w:style>
  <w:style w:type="paragraph" w:styleId="845">
    <w:name w:val="Quote"/>
    <w:basedOn w:val="798"/>
    <w:uiPriority w:val="29"/>
    <w:qFormat/>
    <w:pPr>
      <w:ind w:left="720" w:right="720" w:firstLine="0"/>
    </w:pPr>
    <w:rPr>
      <w:i/>
    </w:rPr>
  </w:style>
  <w:style w:type="paragraph" w:styleId="846">
    <w:name w:val="Intense Quote"/>
    <w:basedOn w:val="7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200"/>
      <w:ind w:left="720" w:right="720" w:firstLine="0"/>
    </w:pPr>
    <w:rPr>
      <w:i/>
    </w:rPr>
  </w:style>
  <w:style w:type="paragraph" w:styleId="847">
    <w:name w:val="footnote text"/>
    <w:basedOn w:val="79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8">
    <w:name w:val="endnote text"/>
    <w:basedOn w:val="79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49">
    <w:name w:val="toc 1"/>
    <w:basedOn w:val="798"/>
    <w:uiPriority w:val="39"/>
    <w:unhideWhenUsed/>
    <w:pPr>
      <w:spacing w:before="0" w:after="57"/>
      <w:ind w:left="0" w:right="0" w:firstLine="0"/>
    </w:pPr>
  </w:style>
  <w:style w:type="paragraph" w:styleId="850">
    <w:name w:val="toc 2"/>
    <w:basedOn w:val="798"/>
    <w:uiPriority w:val="39"/>
    <w:unhideWhenUsed/>
    <w:pPr>
      <w:spacing w:before="0" w:after="57"/>
      <w:ind w:left="283" w:right="0" w:firstLine="0"/>
    </w:pPr>
  </w:style>
  <w:style w:type="paragraph" w:styleId="851">
    <w:name w:val="toc 3"/>
    <w:basedOn w:val="798"/>
    <w:uiPriority w:val="39"/>
    <w:unhideWhenUsed/>
    <w:pPr>
      <w:spacing w:before="0" w:after="57"/>
      <w:ind w:left="567" w:right="0" w:firstLine="0"/>
    </w:pPr>
  </w:style>
  <w:style w:type="paragraph" w:styleId="852">
    <w:name w:val="toc 4"/>
    <w:basedOn w:val="798"/>
    <w:uiPriority w:val="39"/>
    <w:unhideWhenUsed/>
    <w:pPr>
      <w:spacing w:before="0" w:after="57"/>
      <w:ind w:left="850" w:right="0" w:firstLine="0"/>
    </w:pPr>
  </w:style>
  <w:style w:type="paragraph" w:styleId="853">
    <w:name w:val="toc 5"/>
    <w:basedOn w:val="798"/>
    <w:uiPriority w:val="39"/>
    <w:unhideWhenUsed/>
    <w:pPr>
      <w:spacing w:before="0" w:after="57"/>
      <w:ind w:left="1134" w:right="0" w:firstLine="0"/>
    </w:pPr>
  </w:style>
  <w:style w:type="paragraph" w:styleId="854">
    <w:name w:val="toc 6"/>
    <w:basedOn w:val="798"/>
    <w:uiPriority w:val="39"/>
    <w:unhideWhenUsed/>
    <w:pPr>
      <w:spacing w:before="0" w:after="57"/>
      <w:ind w:left="1417" w:right="0" w:firstLine="0"/>
    </w:pPr>
  </w:style>
  <w:style w:type="paragraph" w:styleId="855">
    <w:name w:val="toc 7"/>
    <w:basedOn w:val="798"/>
    <w:uiPriority w:val="39"/>
    <w:unhideWhenUsed/>
    <w:pPr>
      <w:spacing w:before="0" w:after="57"/>
      <w:ind w:left="1701" w:right="0" w:firstLine="0"/>
    </w:pPr>
  </w:style>
  <w:style w:type="paragraph" w:styleId="856">
    <w:name w:val="toc 8"/>
    <w:basedOn w:val="798"/>
    <w:uiPriority w:val="39"/>
    <w:unhideWhenUsed/>
    <w:pPr>
      <w:spacing w:before="0" w:after="57"/>
      <w:ind w:left="1984" w:right="0" w:firstLine="0"/>
    </w:pPr>
  </w:style>
  <w:style w:type="paragraph" w:styleId="857">
    <w:name w:val="toc 9"/>
    <w:basedOn w:val="798"/>
    <w:uiPriority w:val="39"/>
    <w:unhideWhenUsed/>
    <w:pPr>
      <w:spacing w:before="0" w:after="57"/>
      <w:ind w:left="2268" w:right="0" w:firstLine="0"/>
    </w:pPr>
  </w:style>
  <w:style w:type="paragraph" w:styleId="858">
    <w:name w:val="TOC Heading"/>
    <w:uiPriority w:val="39"/>
    <w:unhideWhenUsed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9">
    <w:name w:val="table of figures"/>
    <w:basedOn w:val="798"/>
    <w:uiPriority w:val="99"/>
    <w:unhideWhenUsed/>
    <w:qFormat/>
    <w:pPr>
      <w:spacing w:before="0" w:after="0" w:afterAutospacing="0"/>
    </w:pPr>
  </w:style>
  <w:style w:type="paragraph" w:styleId="860">
    <w:name w:val="Верхний и нижний колонтитулы"/>
    <w:basedOn w:val="798"/>
    <w:qFormat/>
  </w:style>
  <w:style w:type="paragraph" w:styleId="861">
    <w:name w:val="Header"/>
    <w:basedOn w:val="79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862">
    <w:name w:val="Footer"/>
    <w:basedOn w:val="79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863">
    <w:name w:val="Balloon Text"/>
    <w:basedOn w:val="798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64">
    <w:name w:val="List Paragraph"/>
    <w:basedOn w:val="798"/>
    <w:uiPriority w:val="34"/>
    <w:qFormat/>
    <w:pPr>
      <w:spacing w:before="0" w:after="200"/>
      <w:ind w:left="720" w:firstLine="0"/>
      <w:contextualSpacing/>
    </w:pPr>
  </w:style>
  <w:style w:type="paragraph" w:styleId="865">
    <w:name w:val="Plain Text"/>
    <w:basedOn w:val="798"/>
    <w:uiPriority w:val="99"/>
    <w:semiHidden/>
    <w:unhideWhenUsed/>
    <w:qFormat/>
    <w:pPr>
      <w:spacing w:before="0" w:after="0" w:line="240" w:lineRule="auto"/>
    </w:pPr>
    <w:rPr>
      <w:rFonts w:ascii="Calibri" w:hAnsi="Calibri" w:eastAsia="Calibri" w:cs="Times New Roman"/>
      <w:szCs w:val="21"/>
    </w:rPr>
  </w:style>
  <w:style w:type="numbering" w:styleId="866" w:default="1">
    <w:name w:val="No List"/>
    <w:uiPriority w:val="99"/>
    <w:semiHidden/>
    <w:unhideWhenUsed/>
    <w:qFormat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7C3E-5B51-4032-B0D7-7FCF5C0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 Малахова</dc:creator>
  <dc:description/>
  <dc:language>ru-RU</dc:language>
  <cp:revision>75</cp:revision>
  <dcterms:created xsi:type="dcterms:W3CDTF">2023-08-21T04:27:00Z</dcterms:created>
  <dcterms:modified xsi:type="dcterms:W3CDTF">2025-07-25T08:50:47Z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минтруд НСО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