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МИНИСТЕРСТВО ВНУТРЕННИХ ДЕЛ РОССИЙСКОЙ ФЕДЕРАЦИИ</w:t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</w:p>
    <w:p>
      <w:pPr>
        <w:pStyle w:val="83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</w:p>
    <w:p>
      <w:pPr>
        <w:pStyle w:val="83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ИНФОРМАЦИЯ</w:t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</w:p>
    <w:p>
      <w:pPr>
        <w:pStyle w:val="83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</w:p>
    <w:p>
      <w:pPr>
        <w:pStyle w:val="83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ПАМЯТКА</w:t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</w:p>
    <w:p>
      <w:pPr>
        <w:pStyle w:val="83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ДЛЯ ГРАЖДАН РОССИИ, ПОТЕНЦИАЛЬНЫХ РАБОТОДАТЕЛЕЙ</w:t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</w:p>
    <w:p>
      <w:pPr>
        <w:pStyle w:val="83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И ИНЫХ ОРГАНИЗАЦИЙ</w:t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 5 февраля 2025 года введен специальный правоохранительный режим высылки (нововведения предусмотрены Федеральным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законом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от 8 авгус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та 2024 года № 260-ФЗ, которым необходимые изменения внесены в Федеральный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закон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от 25 июля 2002 года № 115-ФЗ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 правовом положении иностранных граждан в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рамках этого режима все иностранные граждане и лица без гражданства, не имеющие оснований для законного нахождения в Российской Федерации, подле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жат включению в реестр контролируемых лиц до удаления за пределы страны либо урегулирования правового положения.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Порядка 5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0% лиц, сведения о которых включены в реестр, - мужчины трудоспособного возраста. Данные иностранные граждане не имеют документов, подтверждающих право на пребывание (проживание) в Российской Федерации, включая право на осуществление трудовой деятельности.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Работодателям важно помнить, что за незаконное привлечение к трудовой деятельности иностранных граждан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Кодексом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Российской Федерации об административных правонарушениях установлена административная ответственность, которая наступает в связи с: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- привлечением к трудовой деятельности в Российской Федерации иностранных граждан при отсутствии у них патента или разрешения на работу (в слу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чае привлечения иностранных работников из Азербайджана, Грузии, Молдовы, Таджикистана, Узбекистана, Украины, квалифицированных специалистов, высококвалифицированных специалистов или иностранных граждан, прибывших в Российскую Федерацию в визовом порядке);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- неуведомлением территориального органа МВД России о заключении или прекращении трудового договора или гражданско-правового договора на выполнение работ (оказание услуг) (в случае привлечения к трудовой деятельности иностранных граждан, перечисленных в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пункте 4 статьи 13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Закона № 115-ФЗ, которым предоставлено право осуществления в Российской Федерации трудовой деятельности без оформления патента или разрешения на работу).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Максимальный размер штрафа за указанные правонарушения для должностных лиц составляет 50 тысяч рублей, для юридических лиц - 800 ты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сяч рублей. В случае, если упомянутое правонарушение допущено в городах Москве или Санкт-Петербурге, Московской или Ленинградской областях, то штрафные санкции могут для должностных лиц составить 70 тысяч рублей, для юридических лиц - до 1 миллиона рублей.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 этом следует иметь в виду, что административная ответственность в перечисленных случаях наступает в отношении каждого иностранного гражданина в отдельности (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примечание 2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к статье 18.15 КоАП).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Физическим и юридическим лицам необходимо знать, что иностранным гражданам, включенным в реестр контролируемых лиц, запрещается: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- приобретать и регистрировать недвижимость, транспортные средства;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- заключать брак;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- учреждать юридическое лицо, регистрироваться в качестве индивидуального предпринимателя;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- открывать банковский счет и осуществлять банковс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кие операции (за исключением переводов денежных средств в целях уплаты обязательных платежей,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месяц);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- управлять транспортным средством.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Также невозможен прием незаконно находящихся в Российской Федерации несовершеннолетних иностранцев в школы и детские сады.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Оказание услуг иностранным гражданам, включенным в реестр к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онтролируемых лиц, в том числе в сфере образования, считается административным правонарушением. Размер штрафа составит для физических лиц от 2 до 5 тысяч рублей, для должностных лиц - от 35 до 50 тысяч рублей, для организаций - от 400 до 500 тысяч рублей (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часть 3 статьи 18.9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КоАП).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этой связи при трудоустройстве иностранного гражданина важно ознакомиться с информацией на сайте МВД России о наличии сведений о нем в реестре контролируемых лиц. Для этого необходимо ввести в интерактивную форму фамили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ю, имя, отчество (при наличии), дату рождения, серию, номер и дату выдачи документа, удостоверяющего личность. В ответ будет выдаваться сообщение о нахождении человека в реестре или об отсутствии сведений о нем. Сведения на сайте обновляются каждые 4 часа.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Модуль "Реестр контролируемых лиц" размещен на сайте Министерства по адресу: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https://мвд.рф/rkl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Временные меры по урегулированию правового положения отдельных категорий иностранных граждан определены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Указом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Президента Российской Федерации от 30 декабря 2024 года № 1126, который, в первую очередь, направлен на содействие в легализации иностранным гражданам, желающим на законных основаниях осуществлять трудовую деятельность.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Меры, установленные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Указом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№ 1126, действуют по 10 сентября 2025 года включительно.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этой связи, если у иностранного гражданина истек срок действия патента, разрешения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 работу, разрешения на временное проживание, вида на жительство он вправе обратиться с заявлением о выдаче указанных документов. После принятия такого заявления иностранцу выдается справка, предусмотренная соответствующими административными регламентами.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 работодателя, обращ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ающегося с заявлением о выдаче разрешения на работу, сохраняется условие о возможности привлечения к трудовой деятельности иностранных граждан при наличии разрешения на привлечение иностранной рабочей силы (если такое разрешение требуется в соответствии с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Законом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№ 115-ФЗ).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Для трудовых мигрантов из стран ЕАЭС, сведения о которых значатся в реестре контролируемых лиц, условием урегулирования правового статуса, согласно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Указу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№ 1126, является заключение с работодателем, заказчиком работ (услуг) трудового или гражданско-правового договора и представление копии договора в территориальный орган МВД России.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Заключение трудового или гражданско-правового договора с отлагательным сроком вступления в силу (с даты искл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ючения сведений о нем из реестра контролируемых лиц) не является нарушением. В данном случае потенциальный работодатель привлечению к административной ответственности за нарушение порядка привлечения к трудовой деятельности иностранных граждан не подлежит.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Решить вопрос об урегулировании правового положения после 11 сентября 2025 года будет невозможно. С этой даты в отношен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ии иностранных граждан, утративших законные основания для пребывания в нашей стране, до их выдворения за пределы Российской Федерации будут применяться все предусмотренные законом меры по ограничению отдельных прав, в том числе на въезд в Россию в будущем.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Обратиться для оформления документов и осуществления необходимых процедур возможно по месту своего нахождения в: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- территориальный орган МВД России;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- филиал ФГУП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</w:t>
      </w:r>
      <w:r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ПВС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»</w:t>
      </w:r>
      <w:r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МВД России;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37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- ГБУ ММЦ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</w:t>
      </w:r>
      <w:r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Сахарово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»</w:t>
      </w:r>
      <w:r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(для лиц, пребывающих в г. Москве).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  <w:r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3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2025-08-05T07:22:44Z</dcterms:modified>
</cp:coreProperties>
</file>