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План-график смен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квота путевок </w:t>
      </w:r>
      <w:r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Новосибирской</w:t>
      </w:r>
      <w:r>
        <w:rPr>
          <w:b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в ФГБОУ «МДЦ «Артек»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634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50"/>
        <w:gridCol w:w="1985"/>
        <w:gridCol w:w="992"/>
        <w:gridCol w:w="1701"/>
        <w:gridCol w:w="992"/>
      </w:tblGrid>
      <w:tr>
        <w:tblPrEx/>
        <w:trPr>
          <w:trHeight w:val="960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смены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32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</w:t>
            </w:r>
            <w:r>
              <w:rPr>
                <w:b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Тематика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смены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смены, дни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Квота путевок</w:t>
            </w:r>
            <w:r>
              <w:rPr>
                <w:b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23</w:t>
            </w:r>
            <w:r>
              <w:rPr>
                <w:sz w:val="25"/>
                <w:szCs w:val="25"/>
              </w:rPr>
              <w:t xml:space="preserve">-24 января по 12-13 февраля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«Артек» - в новый век»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1</w:t>
            </w:r>
            <w:r>
              <w:rPr>
                <w:sz w:val="25"/>
                <w:szCs w:val="25"/>
              </w:rPr>
              <w:t xml:space="preserve">6-17 февраля по 08-09 марта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«Время твоего выбора»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12-13 марта по</w:t>
            </w:r>
            <w:r>
              <w:rPr>
                <w:sz w:val="25"/>
                <w:szCs w:val="25"/>
              </w:rPr>
            </w:r>
          </w:p>
          <w:p>
            <w:pPr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01</w:t>
            </w:r>
            <w:r>
              <w:rPr>
                <w:sz w:val="25"/>
                <w:szCs w:val="25"/>
              </w:rPr>
              <w:t xml:space="preserve">-</w:t>
            </w:r>
            <w:r>
              <w:rPr>
                <w:sz w:val="25"/>
                <w:szCs w:val="25"/>
              </w:rPr>
              <w:t xml:space="preserve">02</w:t>
            </w:r>
            <w:r>
              <w:rPr>
                <w:sz w:val="25"/>
                <w:szCs w:val="25"/>
              </w:rPr>
              <w:t xml:space="preserve"> апреля 2025 </w:t>
            </w:r>
            <w:r>
              <w:rPr>
                <w:sz w:val="25"/>
                <w:szCs w:val="25"/>
              </w:rPr>
              <w:t xml:space="preserve">г.</w:t>
            </w:r>
            <w:r>
              <w:rPr>
                <w:b/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«Крым. Артек. Россия.»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10-11 апреля по</w:t>
            </w:r>
            <w:r>
              <w:rPr>
                <w:sz w:val="25"/>
                <w:szCs w:val="25"/>
              </w:rPr>
            </w:r>
          </w:p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 апреля - 1 </w:t>
            </w:r>
            <w:r>
              <w:rPr>
                <w:sz w:val="25"/>
                <w:szCs w:val="25"/>
              </w:rPr>
              <w:t xml:space="preserve">мая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«Земля наш общий дом»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04-05 мая по 24-25 мая </w:t>
            </w:r>
            <w:r>
              <w:rPr>
                <w:sz w:val="25"/>
                <w:szCs w:val="25"/>
              </w:rPr>
            </w:r>
          </w:p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«История нашей Победы»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28-29 мая по 17-18 июня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«Сто лет дорогой детства»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7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21-22 июня по 11-12 июля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b/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«Артек» зажигает звезду»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15-16 июля по 4-5 </w:t>
            </w:r>
            <w:r>
              <w:rPr>
                <w:sz w:val="25"/>
                <w:szCs w:val="25"/>
              </w:rPr>
              <w:t xml:space="preserve">августа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«Артек» собирает друзей»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9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08-</w:t>
            </w:r>
            <w:r>
              <w:rPr>
                <w:sz w:val="25"/>
                <w:szCs w:val="25"/>
              </w:rPr>
              <w:t xml:space="preserve">09 августа по 28-29 августа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«Солнце, море и «Артек»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01-02</w:t>
            </w:r>
            <w:r>
              <w:rPr>
                <w:sz w:val="25"/>
                <w:szCs w:val="25"/>
              </w:rPr>
              <w:t xml:space="preserve"> сентября по 21-22 сентября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</w:t>
            </w:r>
            <w:r>
              <w:rPr>
                <w:sz w:val="25"/>
                <w:szCs w:val="25"/>
              </w:rPr>
              <w:t xml:space="preserve">КЛАССное</w:t>
            </w:r>
            <w:r>
              <w:rPr>
                <w:sz w:val="25"/>
                <w:szCs w:val="25"/>
              </w:rPr>
              <w:t xml:space="preserve"> время»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35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11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25-2</w:t>
            </w:r>
            <w:r>
              <w:rPr>
                <w:sz w:val="25"/>
                <w:szCs w:val="25"/>
              </w:rPr>
              <w:t xml:space="preserve">6 сентября по 15-16 октября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b/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«Тайны золотой параллели»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25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12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19</w:t>
            </w:r>
            <w:r>
              <w:rPr>
                <w:sz w:val="25"/>
                <w:szCs w:val="25"/>
              </w:rPr>
              <w:t xml:space="preserve">-20 октября по 08-09 ноября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«Россия - Родина моя!»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35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13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12</w:t>
            </w:r>
            <w:r>
              <w:rPr>
                <w:sz w:val="25"/>
                <w:szCs w:val="25"/>
              </w:rPr>
              <w:t xml:space="preserve">-13 ноября по 02-03 декабря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«Дороги, которые мы выбираем»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14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06-</w:t>
            </w:r>
            <w:r>
              <w:rPr>
                <w:sz w:val="25"/>
                <w:szCs w:val="25"/>
              </w:rPr>
              <w:t xml:space="preserve">07 декабря по 26-27 декабря 2025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«Новый год стучится в двери»</w:t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15</w:t>
            </w:r>
            <w:r>
              <w:rPr>
                <w:sz w:val="25"/>
                <w:szCs w:val="25"/>
              </w:rPr>
            </w:r>
          </w:p>
        </w:tc>
        <w:tc>
          <w:tcPr>
            <w:tcW w:w="3250" w:type="dxa"/>
            <w:vAlign w:val="center"/>
            <w:textDirection w:val="lrTb"/>
            <w:noWrap w:val="false"/>
          </w:tcPr>
          <w:p>
            <w:pPr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30-31 декабря 2025</w:t>
            </w:r>
            <w:r>
              <w:rPr>
                <w:sz w:val="25"/>
                <w:szCs w:val="25"/>
              </w:rPr>
              <w:t xml:space="preserve"> г. по 19-20 </w:t>
            </w:r>
            <w:r>
              <w:rPr>
                <w:sz w:val="25"/>
                <w:szCs w:val="25"/>
              </w:rPr>
              <w:t xml:space="preserve">января 2026</w:t>
            </w:r>
            <w:r>
              <w:rPr>
                <w:sz w:val="25"/>
                <w:szCs w:val="25"/>
              </w:rPr>
              <w:t xml:space="preserve"> г.</w:t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gridSpan w:val="2"/>
            <w:tcW w:w="2977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«Рождественские сказки «Артека»»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21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</w:t>
            </w:r>
            <w:r>
              <w:rPr>
                <w:sz w:val="25"/>
                <w:szCs w:val="25"/>
              </w:rPr>
            </w:r>
          </w:p>
        </w:tc>
      </w:tr>
      <w:tr>
        <w:tblPrEx/>
        <w:trPr>
          <w:trHeight w:val="380"/>
        </w:trPr>
        <w:tc>
          <w:tcPr>
            <w:gridSpan w:val="5"/>
            <w:tcBorders>
              <w:bottom w:val="single" w:color="auto" w:sz="4" w:space="0"/>
            </w:tcBorders>
            <w:tcW w:w="8642" w:type="dxa"/>
            <w:vAlign w:val="center"/>
            <w:textDirection w:val="lrTb"/>
            <w:noWrap w:val="false"/>
          </w:tcPr>
          <w:p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Всего:</w:t>
            </w:r>
            <w:r>
              <w:rPr>
                <w:sz w:val="25"/>
                <w:szCs w:val="25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</w:t>
            </w:r>
            <w:r>
              <w:rPr>
                <w:sz w:val="25"/>
                <w:szCs w:val="25"/>
              </w:rPr>
              <w:t xml:space="preserve">43</w:t>
            </w:r>
            <w:r>
              <w:rPr>
                <w:sz w:val="25"/>
                <w:szCs w:val="25"/>
              </w:rPr>
            </w:r>
          </w:p>
        </w:tc>
      </w:tr>
    </w:tbl>
    <w:p>
      <w:pPr>
        <w:tabs>
          <w:tab w:val="left" w:pos="58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81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19274461"/>
      <w:docPartObj>
        <w:docPartGallery w:val="Page Numbers (Top of Page)"/>
        <w:docPartUnique w:val="true"/>
      </w:docPartObj>
      <w:rPr/>
    </w:sdtPr>
    <w:sdtContent>
      <w:p>
        <w:pPr>
          <w:pStyle w:val="76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16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3.%1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2.%1."/>
      <w:lvlJc w:val="center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40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47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54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62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69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76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3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90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980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"/>
      <w:lvlJc w:val="center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227" w:hanging="227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nothing"/>
      <w:lvlText w:val="1.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2.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space"/>
      <w:lvlText w:val=""/>
      <w:lvlJc w:val="center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22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center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space"/>
      <w:lvlText w:val=""/>
      <w:lvlJc w:val="center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2.1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2"/>
  </w:num>
  <w:num w:numId="2">
    <w:abstractNumId w:val="33"/>
  </w:num>
  <w:num w:numId="3">
    <w:abstractNumId w:val="20"/>
  </w:num>
  <w:num w:numId="4">
    <w:abstractNumId w:val="19"/>
  </w:num>
  <w:num w:numId="5">
    <w:abstractNumId w:val="13"/>
  </w:num>
  <w:num w:numId="6">
    <w:abstractNumId w:val="7"/>
  </w:num>
  <w:num w:numId="7">
    <w:abstractNumId w:val="26"/>
  </w:num>
  <w:num w:numId="8">
    <w:abstractNumId w:val="14"/>
  </w:num>
  <w:num w:numId="9">
    <w:abstractNumId w:val="23"/>
  </w:num>
  <w:num w:numId="10">
    <w:abstractNumId w:val="17"/>
  </w:num>
  <w:num w:numId="11">
    <w:abstractNumId w:val="31"/>
  </w:num>
  <w:num w:numId="12">
    <w:abstractNumId w:val="6"/>
  </w:num>
  <w:num w:numId="13">
    <w:abstractNumId w:val="2"/>
  </w:num>
  <w:num w:numId="14">
    <w:abstractNumId w:val="28"/>
  </w:num>
  <w:num w:numId="15">
    <w:abstractNumId w:val="16"/>
  </w:num>
  <w:num w:numId="16">
    <w:abstractNumId w:val="27"/>
  </w:num>
  <w:num w:numId="17">
    <w:abstractNumId w:val="24"/>
  </w:num>
  <w:num w:numId="18">
    <w:abstractNumId w:val="4"/>
  </w:num>
  <w:num w:numId="19">
    <w:abstractNumId w:val="5"/>
  </w:num>
  <w:num w:numId="20">
    <w:abstractNumId w:val="11"/>
  </w:num>
  <w:num w:numId="21">
    <w:abstractNumId w:val="29"/>
  </w:num>
  <w:num w:numId="22">
    <w:abstractNumId w:val="12"/>
  </w:num>
  <w:num w:numId="23">
    <w:abstractNumId w:val="0"/>
  </w:num>
  <w:num w:numId="24">
    <w:abstractNumId w:val="15"/>
  </w:num>
  <w:num w:numId="25">
    <w:abstractNumId w:val="3"/>
  </w:num>
  <w:num w:numId="26">
    <w:abstractNumId w:val="9"/>
  </w:num>
  <w:num w:numId="27">
    <w:abstractNumId w:val="10"/>
  </w:num>
  <w:num w:numId="28">
    <w:abstractNumId w:val="21"/>
  </w:num>
  <w:num w:numId="29">
    <w:abstractNumId w:val="25"/>
  </w:num>
  <w:num w:numId="30">
    <w:abstractNumId w:val="32"/>
  </w:num>
  <w:num w:numId="31">
    <w:abstractNumId w:val="30"/>
  </w:num>
  <w:num w:numId="32">
    <w:abstractNumId w:val="8"/>
  </w:num>
  <w:num w:numId="33">
    <w:abstractNumId w:val="1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1"/>
    <w:next w:val="7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1"/>
    <w:next w:val="7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5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1"/>
    <w:next w:val="7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1"/>
    <w:next w:val="7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1"/>
    <w:next w:val="7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1"/>
    <w:next w:val="7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1"/>
    <w:next w:val="7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1"/>
    <w:next w:val="7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1"/>
    <w:next w:val="7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52"/>
    <w:link w:val="757"/>
    <w:uiPriority w:val="10"/>
    <w:rPr>
      <w:sz w:val="48"/>
      <w:szCs w:val="48"/>
    </w:rPr>
  </w:style>
  <w:style w:type="paragraph" w:styleId="36">
    <w:name w:val="Subtitle"/>
    <w:basedOn w:val="751"/>
    <w:next w:val="7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2"/>
    <w:link w:val="36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2"/>
    <w:link w:val="768"/>
    <w:uiPriority w:val="99"/>
  </w:style>
  <w:style w:type="character" w:styleId="45">
    <w:name w:val="Footer Char"/>
    <w:basedOn w:val="752"/>
    <w:link w:val="770"/>
    <w:uiPriority w:val="99"/>
  </w:style>
  <w:style w:type="paragraph" w:styleId="46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0"/>
    <w:uiPriority w:val="99"/>
  </w:style>
  <w:style w:type="table" w:styleId="49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2"/>
    <w:uiPriority w:val="99"/>
    <w:unhideWhenUsed/>
    <w:rPr>
      <w:vertAlign w:val="superscript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2"/>
    <w:uiPriority w:val="99"/>
    <w:semiHidden/>
    <w:unhideWhenUsed/>
    <w:rPr>
      <w:vertAlign w:val="superscript"/>
    </w:rPr>
  </w:style>
  <w:style w:type="paragraph" w:styleId="181">
    <w:name w:val="toc 1"/>
    <w:basedOn w:val="751"/>
    <w:next w:val="7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1"/>
    <w:next w:val="7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paragraph" w:styleId="755" w:customStyle="1">
    <w:name w:val="FR2"/>
    <w:uiPriority w:val="99"/>
    <w:pPr>
      <w:jc w:val="right"/>
      <w:spacing w:before="300"/>
      <w:widowControl w:val="off"/>
    </w:pPr>
    <w:rPr>
      <w:rFonts w:ascii="Arial" w:hAnsi="Arial" w:eastAsia="Times New Roman" w:cs="Arial"/>
      <w:i/>
      <w:iCs/>
    </w:rPr>
  </w:style>
  <w:style w:type="paragraph" w:styleId="756" w:customStyle="1">
    <w:name w:val="FR1"/>
    <w:uiPriority w:val="99"/>
    <w:pPr>
      <w:ind w:left="3560"/>
      <w:widowControl w:val="off"/>
    </w:pPr>
    <w:rPr>
      <w:rFonts w:ascii="Arial" w:hAnsi="Arial" w:eastAsia="Times New Roman" w:cs="Arial"/>
      <w:sz w:val="32"/>
      <w:szCs w:val="32"/>
    </w:rPr>
  </w:style>
  <w:style w:type="paragraph" w:styleId="757">
    <w:name w:val="Title"/>
    <w:basedOn w:val="751"/>
    <w:link w:val="758"/>
    <w:uiPriority w:val="99"/>
    <w:qFormat/>
    <w:pPr>
      <w:jc w:val="center"/>
      <w:spacing w:line="220" w:lineRule="exact"/>
    </w:pPr>
    <w:rPr>
      <w:rFonts w:eastAsia="Calibri"/>
      <w:b/>
      <w:bCs/>
    </w:rPr>
  </w:style>
  <w:style w:type="character" w:styleId="758" w:customStyle="1">
    <w:name w:val="Название Знак"/>
    <w:link w:val="757"/>
    <w:uiPriority w:val="99"/>
    <w:qFormat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759">
    <w:name w:val="Body Text Indent"/>
    <w:basedOn w:val="751"/>
    <w:link w:val="760"/>
    <w:uiPriority w:val="99"/>
    <w:pPr>
      <w:ind w:firstLine="283"/>
      <w:jc w:val="both"/>
      <w:spacing w:line="200" w:lineRule="exact"/>
    </w:pPr>
    <w:rPr>
      <w:rFonts w:eastAsia="Calibri"/>
    </w:rPr>
  </w:style>
  <w:style w:type="character" w:styleId="760" w:customStyle="1">
    <w:name w:val="Основной текст с отступом Знак"/>
    <w:link w:val="759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761">
    <w:name w:val="Body Text Indent 2"/>
    <w:basedOn w:val="751"/>
    <w:link w:val="762"/>
    <w:uiPriority w:val="99"/>
    <w:pPr>
      <w:ind w:firstLine="284"/>
      <w:spacing w:line="300" w:lineRule="auto"/>
      <w:widowControl w:val="off"/>
    </w:pPr>
    <w:rPr>
      <w:rFonts w:eastAsia="Calibri"/>
      <w:sz w:val="20"/>
      <w:szCs w:val="20"/>
    </w:rPr>
  </w:style>
  <w:style w:type="character" w:styleId="762" w:customStyle="1">
    <w:name w:val="Основной текст с отступом 2 Знак"/>
    <w:link w:val="761"/>
    <w:uiPriority w:val="99"/>
    <w:rPr>
      <w:rFonts w:ascii="Times New Roman" w:hAnsi="Times New Roman" w:cs="Times New Roman"/>
      <w:lang w:eastAsia="ru-RU"/>
    </w:rPr>
  </w:style>
  <w:style w:type="paragraph" w:styleId="763">
    <w:name w:val="Body Text"/>
    <w:basedOn w:val="751"/>
    <w:link w:val="764"/>
    <w:uiPriority w:val="99"/>
    <w:pPr>
      <w:spacing w:after="120"/>
    </w:pPr>
    <w:rPr>
      <w:rFonts w:eastAsia="Calibri"/>
    </w:rPr>
  </w:style>
  <w:style w:type="character" w:styleId="764" w:customStyle="1">
    <w:name w:val="Основной текст Знак"/>
    <w:link w:val="763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765">
    <w:name w:val="Hyperlink"/>
    <w:rPr>
      <w:color w:val="000080"/>
      <w:u w:val="single"/>
    </w:rPr>
  </w:style>
  <w:style w:type="paragraph" w:styleId="766" w:customStyle="1">
    <w:name w:val="Обычный1"/>
    <w:pPr>
      <w:spacing w:line="276" w:lineRule="auto"/>
    </w:pPr>
    <w:rPr>
      <w:rFonts w:ascii="Arial" w:hAnsi="Arial" w:eastAsia="Times New Roman" w:cs="Arial"/>
      <w:color w:val="000000"/>
      <w:sz w:val="22"/>
      <w:szCs w:val="22"/>
    </w:rPr>
  </w:style>
  <w:style w:type="table" w:styleId="767">
    <w:name w:val="Table Grid"/>
    <w:basedOn w:val="753"/>
    <w:uiPriority w:val="5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8">
    <w:name w:val="Header"/>
    <w:basedOn w:val="751"/>
    <w:link w:val="7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9" w:customStyle="1">
    <w:name w:val="Верхний колонтитул Знак"/>
    <w:link w:val="768"/>
    <w:uiPriority w:val="99"/>
    <w:rPr>
      <w:rFonts w:ascii="Times New Roman" w:hAnsi="Times New Roman" w:eastAsia="Times New Roman"/>
      <w:sz w:val="24"/>
      <w:szCs w:val="24"/>
    </w:rPr>
  </w:style>
  <w:style w:type="paragraph" w:styleId="770">
    <w:name w:val="Footer"/>
    <w:basedOn w:val="751"/>
    <w:link w:val="7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1" w:customStyle="1">
    <w:name w:val="Нижний колонтитул Знак"/>
    <w:link w:val="770"/>
    <w:uiPriority w:val="99"/>
    <w:rPr>
      <w:rFonts w:ascii="Times New Roman" w:hAnsi="Times New Roman" w:eastAsia="Times New Roman"/>
      <w:sz w:val="24"/>
      <w:szCs w:val="24"/>
    </w:rPr>
  </w:style>
  <w:style w:type="paragraph" w:styleId="772">
    <w:name w:val="Balloon Text"/>
    <w:basedOn w:val="751"/>
    <w:link w:val="773"/>
    <w:uiPriority w:val="99"/>
    <w:semiHidden/>
    <w:unhideWhenUsed/>
    <w:rPr>
      <w:rFonts w:ascii="Tahoma" w:hAnsi="Tahoma"/>
      <w:sz w:val="16"/>
      <w:szCs w:val="16"/>
    </w:rPr>
  </w:style>
  <w:style w:type="character" w:styleId="773" w:customStyle="1">
    <w:name w:val="Текст выноски Знак"/>
    <w:link w:val="772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774">
    <w:name w:val="Normal (Web)"/>
    <w:basedOn w:val="751"/>
    <w:unhideWhenUsed/>
    <w:qFormat/>
    <w:pPr>
      <w:spacing w:before="100" w:beforeAutospacing="1" w:after="100" w:afterAutospacing="1"/>
    </w:pPr>
  </w:style>
  <w:style w:type="paragraph" w:styleId="775">
    <w:name w:val="List Paragraph"/>
    <w:basedOn w:val="751"/>
    <w:link w:val="783"/>
    <w:uiPriority w:val="34"/>
    <w:qFormat/>
    <w:pPr>
      <w:contextualSpacing/>
      <w:ind w:left="720"/>
      <w:spacing w:before="100" w:beforeAutospacing="1" w:after="24" w:line="160" w:lineRule="atLeast"/>
      <w:shd w:val="clear" w:color="auto" w:fill="ffffff"/>
    </w:pPr>
    <w:rPr>
      <w:rFonts w:ascii="Arial" w:hAnsi="Arial" w:cs="Arial"/>
      <w:lang w:eastAsia="en-US"/>
    </w:rPr>
  </w:style>
  <w:style w:type="paragraph" w:styleId="776" w:customStyle="1">
    <w:name w:val="Default"/>
    <w:qFormat/>
    <w:rPr>
      <w:rFonts w:ascii="Tahoma" w:hAnsi="Tahoma" w:cs="Tahoma"/>
      <w:color w:val="000000"/>
      <w:sz w:val="24"/>
      <w:szCs w:val="24"/>
      <w:lang w:eastAsia="en-US"/>
    </w:rPr>
  </w:style>
  <w:style w:type="character" w:styleId="777">
    <w:name w:val="annotation reference"/>
    <w:uiPriority w:val="99"/>
    <w:semiHidden/>
    <w:unhideWhenUsed/>
    <w:rPr>
      <w:sz w:val="16"/>
      <w:szCs w:val="16"/>
    </w:rPr>
  </w:style>
  <w:style w:type="paragraph" w:styleId="778">
    <w:name w:val="annotation text"/>
    <w:basedOn w:val="751"/>
    <w:link w:val="779"/>
    <w:uiPriority w:val="99"/>
    <w:semiHidden/>
    <w:unhideWhenUsed/>
    <w:rPr>
      <w:sz w:val="20"/>
      <w:szCs w:val="20"/>
    </w:rPr>
  </w:style>
  <w:style w:type="character" w:styleId="779" w:customStyle="1">
    <w:name w:val="Текст примечания Знак"/>
    <w:link w:val="778"/>
    <w:uiPriority w:val="99"/>
    <w:semiHidden/>
    <w:rPr>
      <w:rFonts w:ascii="Times New Roman" w:hAnsi="Times New Roman" w:eastAsia="Times New Roman"/>
    </w:rPr>
  </w:style>
  <w:style w:type="paragraph" w:styleId="780">
    <w:name w:val="annotation subject"/>
    <w:basedOn w:val="778"/>
    <w:next w:val="778"/>
    <w:link w:val="781"/>
    <w:uiPriority w:val="99"/>
    <w:semiHidden/>
    <w:unhideWhenUsed/>
    <w:rPr>
      <w:b/>
      <w:bCs/>
    </w:rPr>
  </w:style>
  <w:style w:type="character" w:styleId="781" w:customStyle="1">
    <w:name w:val="Тема примечания Знак"/>
    <w:link w:val="780"/>
    <w:uiPriority w:val="99"/>
    <w:semiHidden/>
    <w:rPr>
      <w:rFonts w:ascii="Times New Roman" w:hAnsi="Times New Roman" w:eastAsia="Times New Roman"/>
      <w:b/>
      <w:bCs/>
    </w:rPr>
  </w:style>
  <w:style w:type="character" w:styleId="782">
    <w:name w:val="Strong"/>
    <w:uiPriority w:val="22"/>
    <w:qFormat/>
    <w:rPr>
      <w:b/>
      <w:bCs/>
    </w:rPr>
  </w:style>
  <w:style w:type="character" w:styleId="783" w:customStyle="1">
    <w:name w:val="Абзац списка Знак"/>
    <w:link w:val="775"/>
    <w:uiPriority w:val="34"/>
    <w:rPr>
      <w:rFonts w:ascii="Arial" w:hAnsi="Arial" w:eastAsia="Times New Roman" w:cs="Arial"/>
      <w:sz w:val="24"/>
      <w:szCs w:val="24"/>
      <w:shd w:val="clear" w:color="auto" w:fill="ffffff"/>
      <w:lang w:eastAsia="en-US"/>
    </w:rPr>
  </w:style>
  <w:style w:type="table" w:styleId="784" w:customStyle="1">
    <w:name w:val="Сетка таблицы1"/>
    <w:basedOn w:val="753"/>
    <w:next w:val="767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785" w:customStyle="1">
    <w:name w:val="Нет списка1"/>
    <w:next w:val="754"/>
    <w:uiPriority w:val="99"/>
    <w:semiHidden/>
    <w:unhideWhenUsed/>
  </w:style>
  <w:style w:type="table" w:styleId="786" w:customStyle="1">
    <w:name w:val="Сетка таблицы2"/>
    <w:basedOn w:val="753"/>
    <w:next w:val="767"/>
    <w:uiPriority w:val="5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7" w:customStyle="1">
    <w:name w:val="Сетка таблицы11"/>
    <w:basedOn w:val="753"/>
    <w:next w:val="767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8" w:customStyle="1">
    <w:name w:val="ConsPlusNormal"/>
    <w:uiPriority w:val="99"/>
    <w:pPr>
      <w:widowControl w:val="off"/>
    </w:pPr>
    <w:rPr>
      <w:rFonts w:ascii="Arial" w:hAnsi="Arial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E329-7D41-4244-B88A-C51864E3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User</dc:creator>
  <cp:keywords/>
  <cp:revision>8</cp:revision>
  <dcterms:created xsi:type="dcterms:W3CDTF">2025-01-14T04:54:00Z</dcterms:created>
  <dcterms:modified xsi:type="dcterms:W3CDTF">2025-05-27T11:03:24Z</dcterms:modified>
</cp:coreProperties>
</file>