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80"/>
        <w:jc w:val="center"/>
        <w:rPr>
          <w:rFonts w:ascii="Times New Roman" w:hAnsi="Times New Roman" w:cs="Times New Roman"/>
          <w:sz w:val="28"/>
          <w:szCs w:val="28"/>
        </w:rPr>
      </w:pPr>
      <w:r/>
      <w:bookmarkStart w:id="0" w:name="P4311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ПАМЯТКА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Порядке </w:t>
      </w:r>
      <w:r>
        <w:rPr>
          <w:rFonts w:ascii="Times New Roman" w:hAnsi="Times New Roman" w:cs="Times New Roman"/>
          <w:sz w:val="28"/>
          <w:szCs w:val="28"/>
        </w:rPr>
        <w:t xml:space="preserve">определения объема и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субсидий </w:t>
      </w:r>
      <w:r>
        <w:rPr>
          <w:rFonts w:ascii="Times New Roman" w:hAnsi="Times New Roman" w:cs="Times New Roman"/>
          <w:sz w:val="28"/>
          <w:szCs w:val="28"/>
        </w:rPr>
        <w:t xml:space="preserve">некоммерческим организациям, не являющимся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</w:t>
      </w:r>
      <w:r>
        <w:rPr>
          <w:rFonts w:ascii="Times New Roman" w:hAnsi="Times New Roman" w:cs="Times New Roman"/>
          <w:sz w:val="28"/>
          <w:szCs w:val="28"/>
        </w:rPr>
        <w:t xml:space="preserve">ми</w:t>
      </w:r>
      <w:r>
        <w:rPr>
          <w:rFonts w:ascii="Times New Roman" w:hAnsi="Times New Roman" w:cs="Times New Roman"/>
          <w:sz w:val="28"/>
          <w:szCs w:val="28"/>
        </w:rPr>
        <w:t xml:space="preserve"> (муниципальны</w:t>
      </w:r>
      <w:r>
        <w:rPr>
          <w:rFonts w:ascii="Times New Roman" w:hAnsi="Times New Roman" w:cs="Times New Roman"/>
          <w:sz w:val="28"/>
          <w:szCs w:val="28"/>
        </w:rPr>
        <w:t xml:space="preserve">ми</w:t>
      </w:r>
      <w:r>
        <w:rPr>
          <w:rFonts w:ascii="Times New Roman" w:hAnsi="Times New Roman" w:cs="Times New Roman"/>
          <w:sz w:val="28"/>
          <w:szCs w:val="28"/>
        </w:rPr>
        <w:t xml:space="preserve">) учреждени</w:t>
      </w:r>
      <w:r>
        <w:rPr>
          <w:rFonts w:ascii="Times New Roman" w:hAnsi="Times New Roman" w:cs="Times New Roman"/>
          <w:sz w:val="28"/>
          <w:szCs w:val="28"/>
        </w:rPr>
        <w:t xml:space="preserve">ями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 рамках реализации государственной программы Новосибирской области «Социальная поддержка в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порядок)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1. </w:t>
      </w:r>
      <w:r>
        <w:rPr>
          <w:rFonts w:ascii="Times New Roman" w:hAnsi="Times New Roman" w:cs="Times New Roman"/>
          <w:b/>
          <w:sz w:val="28"/>
          <w:szCs w:val="28"/>
        </w:rPr>
        <w:t xml:space="preserve">Кто </w:t>
      </w:r>
      <w:r>
        <w:rPr>
          <w:rFonts w:ascii="Times New Roman" w:hAnsi="Times New Roman" w:cs="Times New Roman"/>
          <w:b/>
          <w:sz w:val="28"/>
          <w:szCs w:val="28"/>
        </w:rPr>
        <w:t xml:space="preserve">мо</w:t>
      </w:r>
      <w:r>
        <w:rPr>
          <w:rFonts w:ascii="Times New Roman" w:hAnsi="Times New Roman" w:cs="Times New Roman"/>
          <w:b/>
          <w:sz w:val="28"/>
          <w:szCs w:val="28"/>
        </w:rPr>
        <w:t xml:space="preserve">жет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получить субсидии</w:t>
      </w:r>
      <w:r>
        <w:rPr>
          <w:rFonts w:ascii="Times New Roman" w:hAnsi="Times New Roman" w:cs="Times New Roman"/>
          <w:b/>
          <w:sz w:val="28"/>
          <w:szCs w:val="28"/>
        </w:rPr>
        <w:t xml:space="preserve">?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Субсидии предоставляются </w:t>
      </w:r>
      <w:r>
        <w:rPr>
          <w:rFonts w:ascii="Times New Roman" w:hAnsi="Times New Roman" w:cs="Times New Roman"/>
          <w:sz w:val="28"/>
          <w:szCs w:val="28"/>
        </w:rPr>
        <w:t xml:space="preserve">некоммерческим организациям, не являющимся государственными (муниципальными) учреждениями </w:t>
      </w:r>
      <w:r>
        <w:rPr>
          <w:rFonts w:ascii="Times New Roman" w:hAnsi="Times New Roman" w:cs="Times New Roman"/>
          <w:sz w:val="28"/>
          <w:szCs w:val="28"/>
        </w:rPr>
        <w:t xml:space="preserve">(далее – субъекты)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На какие цели предоставляются субсидии?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Субсидии предоставляются </w:t>
      </w:r>
      <w:r>
        <w:rPr>
          <w:rFonts w:ascii="Times New Roman" w:hAnsi="Times New Roman" w:cs="Times New Roman"/>
          <w:sz w:val="28"/>
          <w:szCs w:val="28"/>
        </w:rPr>
        <w:t xml:space="preserve">в целях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обеспечения затрат </w:t>
      </w:r>
      <w:r>
        <w:rPr>
          <w:rFonts w:ascii="Times New Roman" w:hAnsi="Times New Roman" w:cs="Times New Roman"/>
          <w:sz w:val="28"/>
          <w:szCs w:val="28"/>
        </w:rPr>
        <w:t xml:space="preserve">субъектов, связанных с </w:t>
      </w:r>
      <w:r>
        <w:rPr>
          <w:rFonts w:ascii="Times New Roman" w:hAnsi="Times New Roman" w:cs="Times New Roman"/>
          <w:sz w:val="28"/>
          <w:szCs w:val="28"/>
        </w:rPr>
        <w:t xml:space="preserve">выполнени</w:t>
      </w:r>
      <w:r>
        <w:rPr>
          <w:rFonts w:ascii="Times New Roman" w:hAnsi="Times New Roman" w:cs="Times New Roman"/>
          <w:sz w:val="28"/>
          <w:szCs w:val="28"/>
        </w:rPr>
        <w:t xml:space="preserve">ем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(результатов)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«Социальная поддержка в Новосибирской области»</w:t>
      </w:r>
      <w:r>
        <w:rPr>
          <w:rStyle w:val="684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 xml:space="preserve"> (далее - государственная программа)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>
        <w:rPr>
          <w:rFonts w:ascii="Times New Roman" w:hAnsi="Times New Roman" w:cs="Times New Roman"/>
          <w:b/>
          <w:sz w:val="28"/>
          <w:szCs w:val="28"/>
        </w:rPr>
        <w:t xml:space="preserve">В</w:t>
      </w:r>
      <w:r>
        <w:rPr>
          <w:rFonts w:ascii="Times New Roman" w:hAnsi="Times New Roman" w:cs="Times New Roman"/>
          <w:b/>
          <w:sz w:val="28"/>
          <w:szCs w:val="28"/>
        </w:rPr>
        <w:t xml:space="preserve"> какой форме предоставляются субсидии?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Субсидии предоставляются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 порядке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конкурсного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отбора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4. Какие условия должны быть соблюдены 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субъектами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 для участия в конкурсном отборе?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(условия установлены порядком, утвержденным в государственной программе) 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офшорного) владения активами в Российской Федерации; 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2)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не является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ет 25 процентов (если иное не предусмотрено законодательством Российской Федерации). 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отсутствие субъекта в перечне организаций и физических лиц, в отношении которых имеются сведения об их причастности к экстремистской деятельности или терроризму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4)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отсутствие субъекта в </w:t>
      </w:r>
      <w:r>
        <w:rPr>
          <w:rFonts w:ascii="Times New Roman" w:hAnsi="Times New Roman"/>
          <w:sz w:val="28"/>
          <w:szCs w:val="28"/>
          <w:highlight w:val="white"/>
        </w:rPr>
        <w:t xml:space="preserve">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5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субъект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не получает средства из областного бюджета Новосибирской области на основании иных нормативных правовых актов Новосибирской области на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выполнение аналогичных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мероприятий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государственной программы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6)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отсутствие статуса </w:t>
      </w:r>
      <w:r>
        <w:rPr>
          <w:rFonts w:ascii="Times New Roman" w:hAnsi="Times New Roman"/>
          <w:sz w:val="28"/>
          <w:szCs w:val="28"/>
          <w:highlight w:val="white"/>
        </w:rPr>
        <w:t xml:space="preserve">иностранн</w:t>
      </w:r>
      <w:r>
        <w:rPr>
          <w:rFonts w:ascii="Times New Roman" w:hAnsi="Times New Roman"/>
          <w:sz w:val="28"/>
          <w:szCs w:val="28"/>
          <w:highlight w:val="white"/>
        </w:rPr>
        <w:t xml:space="preserve">ого </w:t>
      </w:r>
      <w:r>
        <w:rPr>
          <w:rFonts w:ascii="Times New Roman" w:hAnsi="Times New Roman"/>
          <w:sz w:val="28"/>
          <w:szCs w:val="28"/>
          <w:highlight w:val="white"/>
        </w:rPr>
        <w:t xml:space="preserve">агент</w:t>
      </w:r>
      <w:r>
        <w:rPr>
          <w:rFonts w:ascii="Times New Roman" w:hAnsi="Times New Roman"/>
          <w:sz w:val="28"/>
          <w:szCs w:val="28"/>
          <w:highlight w:val="white"/>
        </w:rPr>
        <w:t xml:space="preserve">а</w:t>
      </w:r>
      <w:r>
        <w:rPr>
          <w:rFonts w:ascii="Times New Roman" w:hAnsi="Times New Roman"/>
          <w:sz w:val="28"/>
          <w:szCs w:val="28"/>
          <w:highlight w:val="white"/>
        </w:rPr>
        <w:t xml:space="preserve"> в соответствии с Федеральным законом от 14.07.2022 </w:t>
      </w:r>
      <w:r>
        <w:rPr>
          <w:rFonts w:ascii="Times New Roman" w:hAnsi="Times New Roman"/>
          <w:sz w:val="28"/>
          <w:szCs w:val="28"/>
          <w:highlight w:val="white"/>
        </w:rPr>
        <w:t xml:space="preserve">№</w:t>
      </w:r>
      <w:r>
        <w:rPr>
          <w:rFonts w:ascii="Times New Roman" w:hAnsi="Times New Roman"/>
          <w:sz w:val="28"/>
          <w:szCs w:val="28"/>
          <w:highlight w:val="white"/>
        </w:rPr>
        <w:t xml:space="preserve"> 255-ФЗ </w:t>
      </w:r>
      <w:r>
        <w:rPr>
          <w:rFonts w:ascii="Times New Roman" w:hAnsi="Times New Roman"/>
          <w:sz w:val="28"/>
          <w:szCs w:val="28"/>
          <w:highlight w:val="white"/>
        </w:rPr>
        <w:t xml:space="preserve">«</w:t>
      </w:r>
      <w:r>
        <w:rPr>
          <w:rFonts w:ascii="Times New Roman" w:hAnsi="Times New Roman"/>
          <w:sz w:val="28"/>
          <w:szCs w:val="28"/>
          <w:highlight w:val="white"/>
        </w:rPr>
        <w:t xml:space="preserve">О контроле за деятельностью лиц, находящихся под иностранным влиянием</w:t>
      </w:r>
      <w:r>
        <w:rPr>
          <w:rFonts w:ascii="Times New Roman" w:hAnsi="Times New Roman"/>
          <w:sz w:val="28"/>
          <w:szCs w:val="28"/>
          <w:highlight w:val="white"/>
        </w:rPr>
        <w:t xml:space="preserve">»;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7) </w:t>
      </w:r>
      <w:r>
        <w:rPr>
          <w:rFonts w:ascii="Times New Roman" w:hAnsi="Times New Roman"/>
          <w:sz w:val="28"/>
          <w:szCs w:val="28"/>
          <w:highlight w:val="white"/>
        </w:rPr>
        <w:t xml:space="preserve">отсутст</w:t>
      </w:r>
      <w:r>
        <w:rPr>
          <w:rFonts w:ascii="Times New Roman" w:hAnsi="Times New Roman"/>
          <w:sz w:val="28"/>
          <w:szCs w:val="28"/>
          <w:highlight w:val="white"/>
        </w:rPr>
        <w:t xml:space="preserve">вие просроченной задолженности по возврату в областной бюджет Новосибирской области иных субсидий, бюджетных инвестиций, а также иных просроченных (неурегулированных) задолженностей по денежным обязательствам перед областным бюджетом Новосибирской области;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8)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непроведение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в отношении субъекта процедуры реорганизации, ликвидации, банкротства или приостановления деятельности субъекта;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9)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отсутствие сведений в реестре дисквалифицированных лиц о руководителях, членах коллегиального исполнительного органа, лице, исполняющем функции единоличного исполнительного органа, или главном бухгалтере субъекта;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10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)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отсутствие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просроченной задолженности по возврату в областной бюджет Новосибирской области иных субсидий, бюджетных инвестиций, а также иной просроченной (неурегулированной) задолженности по денежным обязательствам перед областным бюджетом Новосибирской области</w:t>
      </w:r>
      <w:r>
        <w:rPr>
          <w:rFonts w:ascii="Times New Roman" w:hAnsi="Times New Roman"/>
          <w:sz w:val="28"/>
          <w:szCs w:val="28"/>
          <w:highlight w:val="white"/>
        </w:rPr>
        <w:t xml:space="preserve">.</w:t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Проверка </w:t>
      </w:r>
      <w:r>
        <w:rPr>
          <w:rFonts w:ascii="Times New Roman" w:hAnsi="Times New Roman"/>
          <w:sz w:val="28"/>
          <w:szCs w:val="28"/>
        </w:rPr>
        <w:t xml:space="preserve">субъекта</w:t>
      </w:r>
      <w:r>
        <w:rPr>
          <w:rFonts w:ascii="Times New Roman" w:hAnsi="Times New Roman"/>
          <w:sz w:val="28"/>
          <w:szCs w:val="28"/>
        </w:rPr>
        <w:t xml:space="preserve"> на соответствие </w:t>
      </w:r>
      <w:r>
        <w:rPr>
          <w:rFonts w:ascii="Times New Roman" w:hAnsi="Times New Roman"/>
          <w:sz w:val="28"/>
          <w:szCs w:val="28"/>
        </w:rPr>
        <w:t xml:space="preserve">указанным </w:t>
      </w:r>
      <w:r>
        <w:rPr>
          <w:rFonts w:ascii="Times New Roman" w:hAnsi="Times New Roman"/>
          <w:sz w:val="28"/>
          <w:szCs w:val="28"/>
        </w:rPr>
        <w:t xml:space="preserve">требованиям осуществляется автоматически в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 (на основании данных государственных информационных систем), в том числе с использованием единой системы межведомственного электронного взаимодействия.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Подтверждение соответствия </w:t>
      </w:r>
      <w:r>
        <w:rPr>
          <w:rFonts w:ascii="Times New Roman" w:hAnsi="Times New Roman"/>
          <w:sz w:val="28"/>
          <w:szCs w:val="28"/>
        </w:rPr>
        <w:t xml:space="preserve">субъекта</w:t>
      </w:r>
      <w:r>
        <w:rPr>
          <w:rFonts w:ascii="Times New Roman" w:hAnsi="Times New Roman"/>
          <w:sz w:val="28"/>
          <w:szCs w:val="28"/>
        </w:rPr>
        <w:t xml:space="preserve"> требованиям, в случае отсутствия технической возможности осуществления автоматической проверки в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, производится путем проставления в электронном виде </w:t>
      </w:r>
      <w:r>
        <w:rPr>
          <w:rFonts w:ascii="Times New Roman" w:hAnsi="Times New Roman"/>
          <w:sz w:val="28"/>
          <w:szCs w:val="28"/>
        </w:rPr>
        <w:t xml:space="preserve">субъектом </w:t>
      </w:r>
      <w:r>
        <w:rPr>
          <w:rFonts w:ascii="Times New Roman" w:hAnsi="Times New Roman"/>
          <w:sz w:val="28"/>
          <w:szCs w:val="28"/>
        </w:rPr>
        <w:t xml:space="preserve">отметок о соответствии указанным требованиям посредством заполнения соответствующих экранных форм веб-интерфейса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>
        <w:rPr>
          <w:rFonts w:ascii="Times New Roman" w:hAnsi="Times New Roman" w:cs="Times New Roman"/>
          <w:b/>
          <w:sz w:val="28"/>
          <w:szCs w:val="28"/>
        </w:rPr>
        <w:t xml:space="preserve">Какие критерии установлены для определения победителя конкурсного отбора?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наличие у</w:t>
      </w:r>
      <w:r>
        <w:rPr>
          <w:rFonts w:ascii="Times New Roman" w:hAnsi="Times New Roman"/>
          <w:sz w:val="28"/>
          <w:szCs w:val="28"/>
        </w:rPr>
        <w:t xml:space="preserve"> участника </w:t>
      </w:r>
      <w:r>
        <w:rPr>
          <w:rFonts w:ascii="Times New Roman" w:hAnsi="Times New Roman"/>
          <w:sz w:val="28"/>
          <w:szCs w:val="28"/>
        </w:rPr>
        <w:t xml:space="preserve">отбора квалифицированного кадрового потенциала, подтвержденного списками специалистов, необходимых для реализации мероприятия (результата) государственной программы (наличие у них опыта работы в социальной сфере), в соответствии с минимальными требованиями</w:t>
      </w:r>
      <w:r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на</w:t>
      </w:r>
      <w:r>
        <w:rPr>
          <w:rFonts w:ascii="Times New Roman" w:hAnsi="Times New Roman"/>
          <w:sz w:val="28"/>
          <w:szCs w:val="28"/>
        </w:rPr>
        <w:t xml:space="preserve">личие (кол</w:t>
      </w:r>
      <w:r>
        <w:rPr>
          <w:rFonts w:ascii="Times New Roman" w:hAnsi="Times New Roman"/>
          <w:sz w:val="28"/>
          <w:szCs w:val="28"/>
        </w:rPr>
        <w:t xml:space="preserve">ичество) оборудования (в пригодном для работы состоянии) и других материальных ресурсов, планируемых к использованию (использованных) для достижения указанных результатов, в соответствии с минимальными требованиями, наличие которых подтверждено документами</w:t>
      </w:r>
      <w:r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с</w:t>
      </w:r>
      <w:r>
        <w:rPr>
          <w:rFonts w:ascii="Times New Roman" w:hAnsi="Times New Roman"/>
          <w:sz w:val="28"/>
          <w:szCs w:val="28"/>
        </w:rPr>
        <w:t xml:space="preserve">оотношение размера запрашиваемой субсидии и размера заемных и (или) собственных средств, планируемых к привлечению для достижения указанных результатов</w:t>
      </w:r>
      <w:r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продолжительность </w:t>
      </w:r>
      <w:r>
        <w:rPr>
          <w:rFonts w:ascii="Times New Roman" w:hAnsi="Times New Roman"/>
          <w:sz w:val="28"/>
          <w:szCs w:val="28"/>
        </w:rPr>
        <w:t xml:space="preserve">осуществления деятельности участника отбора на территории Новосибирской области в социальной сфере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</w:t>
      </w:r>
      <w:r>
        <w:rPr>
          <w:rFonts w:ascii="Times New Roman" w:hAnsi="Times New Roman" w:cs="Times New Roman"/>
          <w:sz w:val="28"/>
          <w:szCs w:val="28"/>
        </w:rPr>
        <w:t xml:space="preserve"> р</w:t>
      </w:r>
      <w:r>
        <w:rPr>
          <w:rFonts w:ascii="Times New Roman" w:hAnsi="Times New Roman"/>
          <w:sz w:val="28"/>
          <w:szCs w:val="28"/>
        </w:rPr>
        <w:t xml:space="preserve">азмещение на официальном сайте </w:t>
      </w:r>
      <w:r>
        <w:rPr>
          <w:rFonts w:ascii="Times New Roman" w:hAnsi="Times New Roman"/>
          <w:sz w:val="28"/>
          <w:szCs w:val="28"/>
        </w:rPr>
        <w:t xml:space="preserve">участника отбора </w:t>
      </w:r>
      <w:r>
        <w:rPr>
          <w:rFonts w:ascii="Times New Roman" w:hAnsi="Times New Roman"/>
          <w:sz w:val="28"/>
          <w:szCs w:val="28"/>
        </w:rPr>
        <w:t xml:space="preserve">в сети «Интернет» либо на официальном сайте Общественной</w:t>
      </w:r>
      <w:r>
        <w:rPr>
          <w:rFonts w:ascii="Times New Roman" w:hAnsi="Times New Roman"/>
          <w:sz w:val="28"/>
          <w:szCs w:val="28"/>
        </w:rPr>
        <w:t xml:space="preserve"> палаты Новосибирской области в сети «Интернет» публичного годового отчета участника отбора за год, предшествующий году, в котором проводится отбор, содержащего информацию о целях и задачах деятельности участника отбора, проектах, реализованных участником </w:t>
      </w:r>
      <w:r>
        <w:rPr>
          <w:rFonts w:ascii="Times New Roman" w:hAnsi="Times New Roman"/>
          <w:sz w:val="28"/>
          <w:szCs w:val="28"/>
        </w:rPr>
        <w:t xml:space="preserve">отбора, об использованных собственных денежных средствах, грантах, субсидиях, привлеченных участником отбора для реализации проектов</w:t>
      </w:r>
      <w:r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количество граждан, </w:t>
      </w:r>
      <w:r>
        <w:rPr>
          <w:rFonts w:ascii="Times New Roman" w:hAnsi="Times New Roman"/>
          <w:sz w:val="28"/>
          <w:szCs w:val="28"/>
        </w:rPr>
        <w:t xml:space="preserve">вовлеченных участником отбора в реализацию </w:t>
      </w:r>
      <w:r/>
      <w:r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государственной </w:t>
      </w:r>
      <w:hyperlink r:id="rId9" w:tooltip="consultantplus://offline/ref=20BB35E2F4798C0180F95696E75F015BAFE5BF39CC5FAED381870FD56EB475BB5A06EF6D92712Cw9I3D" w:history="1">
        <w:r>
          <w:rPr>
            <w:rFonts w:ascii="Times New Roman" w:hAnsi="Times New Roman" w:cs="Times New Roman"/>
            <w:sz w:val="28"/>
            <w:szCs w:val="28"/>
          </w:rPr>
          <w:t xml:space="preserve">программы</w:t>
        </w:r>
      </w:hyperlink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</w:t>
      </w:r>
      <w:r>
        <w:rPr>
          <w:rFonts w:ascii="Times New Roman" w:hAnsi="Times New Roman" w:cs="Times New Roman"/>
          <w:sz w:val="28"/>
          <w:szCs w:val="28"/>
        </w:rPr>
        <w:t xml:space="preserve"> количество муниципальных образований, на территории которых планируется реализовать (реализовано) мероприятие государственной программы;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t xml:space="preserve">обеспечение участником отбора при реализации мер</w:t>
      </w:r>
      <w:r>
        <w:rPr>
          <w:rFonts w:ascii="Times New Roman" w:hAnsi="Times New Roman"/>
          <w:sz w:val="28"/>
          <w:szCs w:val="28"/>
        </w:rPr>
        <w:t xml:space="preserve">оприятия (результата</w:t>
      </w:r>
      <w:r/>
      <w:r>
        <w:rPr>
          <w:rFonts w:ascii="Times New Roman" w:hAnsi="Times New Roman" w:cs="Times New Roman"/>
          <w:sz w:val="28"/>
          <w:szCs w:val="28"/>
        </w:rPr>
        <w:t xml:space="preserve"> реализации мероприятия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п</w:t>
      </w:r>
      <w:r>
        <w:rPr>
          <w:rFonts w:ascii="Times New Roman" w:hAnsi="Times New Roman" w:cs="Times New Roman"/>
          <w:sz w:val="28"/>
          <w:szCs w:val="28"/>
        </w:rPr>
        <w:t xml:space="preserve">рограммы условий доступности для инвалидов и других маломобильных групп населения, установленных </w:t>
      </w:r>
      <w:hyperlink r:id="rId10" w:tooltip="consultantplus://offline/ref=20BB35E2F4798C0180F9489BF1335F52A5EEE232CF58AD85D9D1098231E473EE1A46E93BD4w3I1D" w:history="1">
        <w:r>
          <w:rPr>
            <w:rFonts w:ascii="Times New Roman" w:hAnsi="Times New Roman" w:cs="Times New Roman"/>
            <w:sz w:val="28"/>
            <w:szCs w:val="28"/>
          </w:rPr>
          <w:t xml:space="preserve">пунктами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-</w:t>
      </w:r>
      <w:hyperlink r:id="rId11" w:tooltip="consultantplus://offline/ref=20BB35E2F4798C0180F9489BF1335F52A5EEE232CF58AD85D9D1098231E473EE1A46E93BD7w3I4D" w:history="1">
        <w:r>
          <w:rPr>
            <w:rFonts w:ascii="Times New Roman" w:hAnsi="Times New Roman" w:cs="Times New Roman"/>
            <w:sz w:val="28"/>
            <w:szCs w:val="28"/>
          </w:rPr>
          <w:t xml:space="preserve">8 статьи 15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24</w:t>
      </w:r>
      <w:r>
        <w:rPr>
          <w:rFonts w:ascii="Times New Roman" w:hAnsi="Times New Roman" w:cs="Times New Roman"/>
          <w:sz w:val="28"/>
          <w:szCs w:val="28"/>
        </w:rPr>
        <w:t xml:space="preserve"> ноября </w:t>
      </w:r>
      <w:r>
        <w:rPr>
          <w:rFonts w:ascii="Times New Roman" w:hAnsi="Times New Roman" w:cs="Times New Roman"/>
          <w:sz w:val="28"/>
          <w:szCs w:val="28"/>
        </w:rPr>
        <w:t xml:space="preserve">1995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№ 181-ФЗ «О социальной защите инвалидов в Российской Федерации»;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</w:t>
      </w:r>
      <w:r>
        <w:rPr>
          <w:rFonts w:ascii="Times New Roman" w:hAnsi="Times New Roman" w:cs="Times New Roman"/>
          <w:sz w:val="28"/>
          <w:szCs w:val="28"/>
        </w:rPr>
        <w:t xml:space="preserve"> п</w:t>
      </w:r>
      <w:r>
        <w:rPr>
          <w:rFonts w:ascii="Times New Roman" w:hAnsi="Times New Roman"/>
          <w:sz w:val="28"/>
          <w:szCs w:val="28"/>
        </w:rPr>
        <w:t xml:space="preserve">редставление участником отбора документов, подтверждающих не менее одного факта проведения антикоррупционных мероприятий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</w:t>
      </w:r>
      <w:r>
        <w:rPr>
          <w:rFonts w:ascii="Times New Roman" w:hAnsi="Times New Roman" w:cs="Times New Roman"/>
          <w:b/>
          <w:sz w:val="28"/>
          <w:szCs w:val="28"/>
        </w:rPr>
        <w:t xml:space="preserve">. Какие документы необходимо предоставить </w:t>
      </w:r>
      <w:r>
        <w:rPr>
          <w:rFonts w:ascii="Times New Roman" w:hAnsi="Times New Roman" w:cs="Times New Roman"/>
          <w:b/>
          <w:sz w:val="28"/>
          <w:szCs w:val="28"/>
        </w:rPr>
        <w:t xml:space="preserve">в министерство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труда и социального развития Новосибирской области (далее – министерство) </w:t>
      </w:r>
      <w:r>
        <w:rPr>
          <w:rFonts w:ascii="Times New Roman" w:hAnsi="Times New Roman" w:cs="Times New Roman"/>
          <w:b/>
          <w:sz w:val="28"/>
          <w:szCs w:val="28"/>
        </w:rPr>
        <w:t xml:space="preserve">для получения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субсидии?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 отбора для получения субсидии в порядке отбора представляет: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заявку о предоставлении субсидии (по форме, утвержденной приказом министерства) с указанием предварительного расчета размера субсидии;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информации, указанной в пункте 46 настоящего Пор</w:t>
      </w:r>
      <w:r>
        <w:rPr>
          <w:rFonts w:ascii="Times New Roman" w:hAnsi="Times New Roman"/>
          <w:sz w:val="28"/>
          <w:szCs w:val="28"/>
        </w:rPr>
        <w:t xml:space="preserve">ядка;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согласия на публикацию (размещение) в информационно-телекоммуникационной сети "Интернет" информации об участнике отбора, о подаваемой заявке.</w:t>
      </w:r>
      <w:r/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</w:t>
      </w:r>
      <w:r>
        <w:rPr>
          <w:rFonts w:ascii="Times New Roman" w:hAnsi="Times New Roman" w:cs="Times New Roman"/>
          <w:b/>
          <w:sz w:val="28"/>
          <w:szCs w:val="28"/>
        </w:rPr>
        <w:t xml:space="preserve">. Как узнать о проведении конкурсного отбора?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Объявление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 проведении конкурсного отбора на едином портале бюджетной системы Российской Федерации в информационно-телекоммуникационной сети «Интернет», который является частью государственной интегрированной информационной системы управления общественными фи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нсами «Электронный бюджет»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https://promote.budget.gov.ru/</w:t>
      </w:r>
      <w:r>
        <w:rPr>
          <w:rFonts w:ascii="Times New Roman" w:hAnsi="Times New Roman"/>
          <w:sz w:val="28"/>
          <w:szCs w:val="28"/>
        </w:rPr>
        <w:t xml:space="preserve">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и официальном сайте министерства труда и социального развития Новосибирской области в информационно-телекоммуникационной сети «Интернет», организовать проведение конкурсного отбора в соответствии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(</w:t>
      </w:r>
      <w:hyperlink r:id="rId12" w:tooltip="https://mtsr.nso.ru/page/1235" w:history="1">
        <w:r>
          <w:rPr>
            <w:rFonts w:ascii="Times New Roman" w:hAnsi="Times New Roman"/>
            <w:sz w:val="28"/>
            <w:szCs w:val="28"/>
          </w:rPr>
          <w:t xml:space="preserve">https://mtsr.nso.ru/page/1235</w:t>
        </w:r>
      </w:hyperlink>
      <w:r>
        <w:rPr>
          <w:rFonts w:ascii="Times New Roman" w:hAnsi="Times New Roman"/>
          <w:sz w:val="28"/>
          <w:szCs w:val="28"/>
        </w:rPr>
        <w:t xml:space="preserve">)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 менее чем за десять календарных дней до даты начала проведения отбора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Способы </w:t>
      </w:r>
      <w:r>
        <w:rPr>
          <w:rFonts w:ascii="Times New Roman" w:hAnsi="Times New Roman" w:cs="Times New Roman"/>
          <w:b/>
          <w:sz w:val="28"/>
          <w:szCs w:val="28"/>
        </w:rPr>
        <w:t xml:space="preserve">и сроки </w:t>
      </w:r>
      <w:r>
        <w:rPr>
          <w:rFonts w:ascii="Times New Roman" w:hAnsi="Times New Roman" w:cs="Times New Roman"/>
          <w:b/>
          <w:sz w:val="28"/>
          <w:szCs w:val="28"/>
        </w:rPr>
        <w:t xml:space="preserve">подачи заявки и документов на конкурсный отбор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Заявки формируются </w:t>
      </w:r>
      <w:r>
        <w:rPr>
          <w:rFonts w:ascii="Times New Roman" w:hAnsi="Times New Roman"/>
          <w:sz w:val="28"/>
          <w:szCs w:val="28"/>
        </w:rPr>
        <w:t xml:space="preserve">субъектами</w:t>
      </w:r>
      <w:r>
        <w:rPr>
          <w:rFonts w:ascii="Times New Roman" w:hAnsi="Times New Roman"/>
          <w:sz w:val="28"/>
          <w:szCs w:val="28"/>
        </w:rPr>
        <w:t xml:space="preserve"> на участие в отборе в электронной форме посредством заполнения соответствующих экранных форм веб-интерфейса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 и представления в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 электронных копий документов (документов на бумажном носителе, преобразованных в электронную форму путем сканирования), представление которых предусмотрено в объявлении о проведении отбора.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Заявка подписывается усиленной квалифицированной электронной подписью руководителя </w:t>
      </w:r>
      <w:r>
        <w:rPr>
          <w:rFonts w:ascii="Times New Roman" w:hAnsi="Times New Roman"/>
          <w:sz w:val="28"/>
          <w:szCs w:val="28"/>
        </w:rPr>
        <w:t xml:space="preserve">субъекта</w:t>
      </w:r>
      <w:r>
        <w:rPr>
          <w:rFonts w:ascii="Times New Roman" w:hAnsi="Times New Roman"/>
          <w:sz w:val="28"/>
          <w:szCs w:val="28"/>
        </w:rPr>
        <w:t xml:space="preserve"> или уполномоченного им лица (для юридических лиц и индивидуальных предпринимателей).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Датой представления заявки считается день подписания </w:t>
      </w:r>
      <w:r>
        <w:rPr>
          <w:rFonts w:ascii="Times New Roman" w:hAnsi="Times New Roman"/>
          <w:sz w:val="28"/>
          <w:szCs w:val="28"/>
        </w:rPr>
        <w:t xml:space="preserve">субъектом</w:t>
      </w:r>
      <w:r>
        <w:rPr>
          <w:rFonts w:ascii="Times New Roman" w:hAnsi="Times New Roman"/>
          <w:sz w:val="28"/>
          <w:szCs w:val="28"/>
        </w:rPr>
        <w:t xml:space="preserve"> заявки с присвоением ей регистрационного номера в ГИИС </w:t>
      </w:r>
      <w:r>
        <w:rPr>
          <w:rFonts w:ascii="Times New Roman" w:hAnsi="Times New Roman"/>
          <w:sz w:val="28"/>
          <w:szCs w:val="28"/>
        </w:rPr>
        <w:t xml:space="preserve">«</w:t>
      </w:r>
      <w:r>
        <w:rPr>
          <w:rFonts w:ascii="Times New Roman" w:hAnsi="Times New Roman"/>
          <w:sz w:val="28"/>
          <w:szCs w:val="28"/>
        </w:rPr>
        <w:t xml:space="preserve">Электронный бюджет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</w:t>
      </w:r>
      <w:r>
        <w:rPr>
          <w:rFonts w:ascii="Times New Roman" w:hAnsi="Times New Roman" w:cs="Times New Roman"/>
          <w:b/>
          <w:sz w:val="28"/>
          <w:szCs w:val="28"/>
        </w:rPr>
        <w:t xml:space="preserve">. Что является основанием для </w:t>
      </w:r>
      <w:r>
        <w:rPr>
          <w:rFonts w:ascii="Times New Roman" w:hAnsi="Times New Roman" w:cs="Times New Roman"/>
          <w:b/>
          <w:sz w:val="28"/>
          <w:szCs w:val="28"/>
        </w:rPr>
        <w:t xml:space="preserve">от</w:t>
      </w:r>
      <w:r>
        <w:rPr>
          <w:rFonts w:ascii="Times New Roman" w:hAnsi="Times New Roman" w:cs="Times New Roman"/>
          <w:b/>
          <w:sz w:val="28"/>
          <w:szCs w:val="28"/>
        </w:rPr>
        <w:t xml:space="preserve">клонения заявки на стадии ее рассмотрения и оценки</w:t>
      </w:r>
      <w:r>
        <w:rPr>
          <w:rFonts w:ascii="Times New Roman" w:hAnsi="Times New Roman" w:cs="Times New Roman"/>
          <w:b/>
          <w:sz w:val="28"/>
          <w:szCs w:val="28"/>
        </w:rPr>
        <w:t xml:space="preserve">?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1) несоответствие участника отбора требованиям, установленным в соответствии с пунктом 6 порядка;</w:t>
      </w:r>
      <w:r/>
    </w:p>
    <w:p>
      <w:pPr>
        <w:pStyle w:val="681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2) непредставление (представление не в полном объеме) документов, указанных в объявлении о проведении отбора, предусмотренных порядком;</w:t>
      </w:r>
      <w:r/>
    </w:p>
    <w:p>
      <w:pPr>
        <w:pStyle w:val="681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3) несоответствие представленных участником отбора заявок и (или) документов требованиям, установленным в объявлении о проведении отбора, предусмотренным порядком;</w:t>
      </w:r>
      <w:r/>
    </w:p>
    <w:p>
      <w:pPr>
        <w:pStyle w:val="681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4) недостоверность информации, содержащейся в документах, представленных участником отбора в целях подтверждения соответствия установленным порядком требованиям;</w:t>
      </w:r>
      <w:r/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5) подача участником отбора заявки после даты и (или) времени, определенных для подачи заявок.</w:t>
      </w:r>
      <w:r/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Можно ли повторно подать доработанную заявку?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Субъект, </w:t>
      </w:r>
      <w:r>
        <w:rPr>
          <w:rFonts w:ascii="Times New Roman" w:hAnsi="Times New Roman" w:cs="Times New Roman"/>
          <w:sz w:val="28"/>
          <w:szCs w:val="28"/>
        </w:rPr>
        <w:t xml:space="preserve">заявка </w:t>
      </w:r>
      <w:r>
        <w:rPr>
          <w:rFonts w:ascii="Times New Roman" w:hAnsi="Times New Roman" w:cs="Times New Roman"/>
          <w:sz w:val="28"/>
          <w:szCs w:val="28"/>
        </w:rPr>
        <w:t xml:space="preserve">которо</w:t>
      </w:r>
      <w:r>
        <w:rPr>
          <w:rFonts w:ascii="Times New Roman" w:hAnsi="Times New Roman" w:cs="Times New Roman"/>
          <w:sz w:val="28"/>
          <w:szCs w:val="28"/>
        </w:rPr>
        <w:t xml:space="preserve">го отклонена,</w:t>
      </w:r>
      <w:r>
        <w:rPr>
          <w:rFonts w:ascii="Times New Roman" w:hAnsi="Times New Roman" w:cs="Times New Roman"/>
          <w:sz w:val="28"/>
          <w:szCs w:val="28"/>
        </w:rPr>
        <w:t xml:space="preserve"> в праве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направ</w:t>
      </w:r>
      <w:r>
        <w:rPr>
          <w:rFonts w:ascii="Times New Roman" w:hAnsi="Times New Roman"/>
          <w:sz w:val="28"/>
          <w:szCs w:val="28"/>
        </w:rPr>
        <w:t xml:space="preserve">ить</w:t>
      </w:r>
      <w:r>
        <w:rPr>
          <w:rFonts w:ascii="Times New Roman" w:hAnsi="Times New Roman"/>
          <w:sz w:val="28"/>
          <w:szCs w:val="28"/>
        </w:rPr>
        <w:t xml:space="preserve"> скорректированную заявку в сроки, установленные в объявлении о проведении отбора для подачи, при условии устранения выявленных несоответствий.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. Как </w:t>
      </w:r>
      <w:r>
        <w:rPr>
          <w:rFonts w:ascii="Times New Roman" w:hAnsi="Times New Roman" w:cs="Times New Roman"/>
          <w:b/>
          <w:sz w:val="28"/>
          <w:szCs w:val="28"/>
        </w:rPr>
        <w:t xml:space="preserve">определяется победитель конкурсного отбора</w:t>
      </w:r>
      <w:r>
        <w:rPr>
          <w:rFonts w:ascii="Times New Roman" w:hAnsi="Times New Roman" w:cs="Times New Roman"/>
          <w:b/>
          <w:sz w:val="28"/>
          <w:szCs w:val="28"/>
        </w:rPr>
        <w:t xml:space="preserve">?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Министерство формирует конкурсную комиссию по проведению отбора (далее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>
        <w:rPr>
          <w:rFonts w:ascii="Times New Roman" w:hAnsi="Times New Roman" w:cs="Times New Roman"/>
          <w:sz w:val="28"/>
          <w:szCs w:val="28"/>
        </w:rPr>
        <w:t xml:space="preserve">комиссия), состав и положение о которой </w:t>
      </w:r>
      <w:r>
        <w:rPr>
          <w:rFonts w:ascii="Times New Roman" w:hAnsi="Times New Roman" w:cs="Times New Roman"/>
          <w:sz w:val="28"/>
          <w:szCs w:val="28"/>
        </w:rPr>
        <w:t xml:space="preserve">утверждаются</w:t>
      </w:r>
      <w:r>
        <w:rPr>
          <w:rFonts w:ascii="Times New Roman" w:hAnsi="Times New Roman" w:cs="Times New Roman"/>
          <w:sz w:val="28"/>
          <w:szCs w:val="28"/>
        </w:rPr>
        <w:t xml:space="preserve"> приказом министерства.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определения победите</w:t>
      </w:r>
      <w:bookmarkStart w:id="1" w:name="_GoBack"/>
      <w:r/>
      <w:bookmarkEnd w:id="1"/>
      <w:r>
        <w:rPr>
          <w:rFonts w:ascii="Times New Roman" w:hAnsi="Times New Roman" w:cs="Times New Roman"/>
          <w:sz w:val="28"/>
          <w:szCs w:val="28"/>
        </w:rPr>
        <w:t xml:space="preserve">ля отбора заявки оцениваются конкурсной комиссией по установленным критериям. 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каждому критерию каждой заявке выставляются баллы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0 до </w:t>
      </w:r>
      <w:r>
        <w:rPr>
          <w:rFonts w:ascii="Times New Roman" w:hAnsi="Times New Roman" w:cs="Times New Roman"/>
          <w:sz w:val="28"/>
          <w:szCs w:val="28"/>
        </w:rPr>
        <w:t xml:space="preserve">7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оценки заявок конкурсная комиссия рассчитывает рейтинг заявки на участие в отборе путем сложения баллов по каждому критерию.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Победителями отбора становятся субъекты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включенные в рейтинг, сформированный по результатам ранжирования поступивших заявок до достижения предельного количества </w:t>
      </w:r>
      <w:r>
        <w:rPr>
          <w:rFonts w:ascii="Times New Roman" w:hAnsi="Times New Roman"/>
          <w:sz w:val="28"/>
          <w:szCs w:val="28"/>
        </w:rPr>
        <w:t xml:space="preserve">субъектов</w:t>
      </w:r>
      <w:r>
        <w:rPr>
          <w:rFonts w:ascii="Times New Roman" w:hAnsi="Times New Roman"/>
          <w:sz w:val="28"/>
          <w:szCs w:val="28"/>
        </w:rPr>
        <w:t xml:space="preserve">, указанного в объявлении о проведении отбора </w:t>
      </w:r>
      <w:r>
        <w:rPr>
          <w:rFonts w:ascii="Times New Roman" w:hAnsi="Times New Roman"/>
          <w:sz w:val="28"/>
          <w:szCs w:val="28"/>
        </w:rPr>
        <w:t xml:space="preserve">субъектов</w:t>
      </w:r>
      <w:r>
        <w:rPr>
          <w:rFonts w:ascii="Times New Roman" w:hAnsi="Times New Roman"/>
          <w:sz w:val="28"/>
          <w:szCs w:val="28"/>
        </w:rPr>
        <w:t xml:space="preserve"> (в случае его установления), и в пределах объема распределяемой субсидии, указанного в объявлении о проведении отбора получателей субсидий в соответствии с подпунктом 15 пункта 29 </w:t>
      </w:r>
      <w:r>
        <w:rPr>
          <w:rFonts w:ascii="Times New Roman" w:hAnsi="Times New Roman"/>
          <w:sz w:val="28"/>
          <w:szCs w:val="28"/>
        </w:rPr>
        <w:t xml:space="preserve">п</w:t>
      </w:r>
      <w:r>
        <w:rPr>
          <w:rFonts w:ascii="Times New Roman" w:hAnsi="Times New Roman"/>
          <w:sz w:val="28"/>
          <w:szCs w:val="28"/>
        </w:rPr>
        <w:t xml:space="preserve">орядка.</w:t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 Порядок ранжирования поступивших заявок определяется по мере уменьшения полученных баллов по итогам оценки заявок и очередности поступления заявок в случае равенства количества полученных баллов.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завершению отбора </w:t>
      </w:r>
      <w:r>
        <w:rPr>
          <w:rFonts w:ascii="Times New Roman" w:hAnsi="Times New Roman" w:cs="Times New Roman"/>
          <w:sz w:val="28"/>
          <w:szCs w:val="28"/>
        </w:rPr>
        <w:t xml:space="preserve">субъектов</w:t>
      </w:r>
      <w:r>
        <w:rPr>
          <w:rFonts w:ascii="Times New Roman" w:hAnsi="Times New Roman" w:cs="Times New Roman"/>
          <w:sz w:val="28"/>
          <w:szCs w:val="28"/>
        </w:rPr>
        <w:t xml:space="preserve"> протокол подведения итогов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формируется</w:t>
      </w:r>
      <w:r>
        <w:rPr>
          <w:rFonts w:ascii="Times New Roman" w:hAnsi="Times New Roman" w:cs="Times New Roman"/>
          <w:sz w:val="28"/>
          <w:szCs w:val="28"/>
        </w:rPr>
        <w:t xml:space="preserve"> автоматически на едином портале и </w:t>
      </w:r>
      <w:r>
        <w:rPr>
          <w:rFonts w:ascii="Times New Roman" w:hAnsi="Times New Roman" w:cs="Times New Roman"/>
          <w:sz w:val="28"/>
          <w:szCs w:val="28"/>
        </w:rPr>
        <w:t xml:space="preserve">подписывается усиленной</w:t>
      </w:r>
      <w:r>
        <w:rPr>
          <w:rFonts w:ascii="Times New Roman" w:hAnsi="Times New Roman" w:cs="Times New Roman"/>
          <w:sz w:val="28"/>
          <w:szCs w:val="28"/>
        </w:rPr>
        <w:t xml:space="preserve"> квалифицированной электронной подписью руководителя министерства (уполномоченного им лица) или членов конкурсной комиссии в ГИИС «Электронный бюджет», а также размещается на едином портале не позднее одного рабочего дня, следующего за днем его подписания.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Министерство в течение 20 рабочих дней со дня принятия решения о </w:t>
      </w:r>
      <w:r>
        <w:rPr>
          <w:rFonts w:ascii="Times New Roman" w:hAnsi="Times New Roman"/>
          <w:sz w:val="28"/>
          <w:szCs w:val="28"/>
        </w:rPr>
        <w:t xml:space="preserve">субъекте</w:t>
      </w:r>
      <w:r>
        <w:rPr>
          <w:rFonts w:ascii="Times New Roman" w:hAnsi="Times New Roman"/>
          <w:sz w:val="28"/>
          <w:szCs w:val="28"/>
        </w:rPr>
        <w:t xml:space="preserve"> - победителе отбора заключает с </w:t>
      </w:r>
      <w:r>
        <w:rPr>
          <w:rFonts w:ascii="Times New Roman" w:hAnsi="Times New Roman"/>
          <w:sz w:val="28"/>
          <w:szCs w:val="28"/>
        </w:rPr>
        <w:t xml:space="preserve">субъектом</w:t>
      </w:r>
      <w:r>
        <w:rPr>
          <w:rFonts w:ascii="Times New Roman" w:hAnsi="Times New Roman"/>
          <w:sz w:val="28"/>
          <w:szCs w:val="28"/>
        </w:rPr>
        <w:t xml:space="preserve"> Соглашение и издает приказ о перечислении субсидии.</w:t>
      </w:r>
      <w:r>
        <w:rPr>
          <w:rFonts w:ascii="Times New Roman" w:hAnsi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Перечисление субсидии </w:t>
      </w:r>
      <w:r>
        <w:rPr>
          <w:rFonts w:ascii="Times New Roman" w:hAnsi="Times New Roman"/>
          <w:sz w:val="28"/>
          <w:szCs w:val="28"/>
        </w:rPr>
        <w:t xml:space="preserve">субъекту</w:t>
      </w:r>
      <w:r>
        <w:rPr>
          <w:rFonts w:ascii="Times New Roman" w:hAnsi="Times New Roman"/>
          <w:sz w:val="28"/>
          <w:szCs w:val="28"/>
        </w:rPr>
        <w:t xml:space="preserve"> осуществляется в соответствии с бюджетным законодательством Российской Федерации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8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  <w:footnote w:id="2">
    <w:p>
      <w:pPr>
        <w:pStyle w:val="68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Style w:val="684"/>
          <w:rFonts w:ascii="Times New Roman" w:hAnsi="Times New Roman" w:cs="Times New Roman"/>
          <w:sz w:val="22"/>
          <w:szCs w:val="22"/>
        </w:rPr>
        <w:footnoteRef/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г</w:t>
      </w:r>
      <w:r>
        <w:rPr>
          <w:rFonts w:ascii="Times New Roman" w:hAnsi="Times New Roman" w:cs="Times New Roman"/>
          <w:sz w:val="22"/>
          <w:szCs w:val="22"/>
        </w:rPr>
        <w:t xml:space="preserve">осударственная программа Новосибирской области «</w:t>
      </w:r>
      <w:r>
        <w:rPr>
          <w:rFonts w:ascii="Times New Roman" w:hAnsi="Times New Roman" w:cs="Times New Roman"/>
          <w:sz w:val="22"/>
          <w:szCs w:val="22"/>
        </w:rPr>
        <w:t xml:space="preserve">С</w:t>
      </w:r>
      <w:r>
        <w:rPr>
          <w:rFonts w:ascii="Times New Roman" w:hAnsi="Times New Roman" w:cs="Times New Roman"/>
          <w:sz w:val="22"/>
          <w:szCs w:val="22"/>
        </w:rPr>
        <w:t xml:space="preserve">оциальн</w:t>
      </w:r>
      <w:r>
        <w:rPr>
          <w:rFonts w:ascii="Times New Roman" w:hAnsi="Times New Roman" w:cs="Times New Roman"/>
          <w:sz w:val="22"/>
          <w:szCs w:val="22"/>
        </w:rPr>
        <w:t xml:space="preserve">ая</w:t>
      </w:r>
      <w:r>
        <w:rPr>
          <w:rFonts w:ascii="Times New Roman" w:hAnsi="Times New Roman" w:cs="Times New Roman"/>
          <w:sz w:val="22"/>
          <w:szCs w:val="22"/>
        </w:rPr>
        <w:t xml:space="preserve"> поддержк</w:t>
      </w:r>
      <w:r>
        <w:rPr>
          <w:rFonts w:ascii="Times New Roman" w:hAnsi="Times New Roman" w:cs="Times New Roman"/>
          <w:sz w:val="22"/>
          <w:szCs w:val="22"/>
        </w:rPr>
        <w:t xml:space="preserve">а</w:t>
      </w:r>
      <w:r>
        <w:rPr>
          <w:rFonts w:ascii="Times New Roman" w:hAnsi="Times New Roman" w:cs="Times New Roman"/>
          <w:sz w:val="22"/>
          <w:szCs w:val="22"/>
        </w:rPr>
        <w:t xml:space="preserve"> в Новосибирской области», утверждена постановлением Правительства Новосибирской области от </w:t>
      </w:r>
      <w:r>
        <w:rPr>
          <w:rFonts w:ascii="Times New Roman" w:hAnsi="Times New Roman" w:cs="Times New Roman"/>
          <w:sz w:val="22"/>
          <w:szCs w:val="22"/>
        </w:rPr>
        <w:t xml:space="preserve">17.11.2021 № 462-п</w:t>
      </w:r>
      <w:r>
        <w:rPr>
          <w:rFonts w:ascii="Times New Roman" w:hAnsi="Times New Roman" w:cs="Times New Roman"/>
          <w:sz w:val="22"/>
          <w:szCs w:val="22"/>
        </w:rPr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2"/>
    <w:next w:val="67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3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2"/>
    <w:next w:val="67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2"/>
    <w:next w:val="67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2"/>
    <w:next w:val="67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2"/>
    <w:next w:val="67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2"/>
    <w:next w:val="67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2"/>
    <w:next w:val="67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2"/>
    <w:next w:val="67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2"/>
    <w:next w:val="67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72"/>
    <w:next w:val="67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3"/>
    <w:link w:val="34"/>
    <w:uiPriority w:val="10"/>
    <w:rPr>
      <w:sz w:val="48"/>
      <w:szCs w:val="48"/>
    </w:rPr>
  </w:style>
  <w:style w:type="paragraph" w:styleId="36">
    <w:name w:val="Subtitle"/>
    <w:basedOn w:val="672"/>
    <w:next w:val="67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3"/>
    <w:link w:val="36"/>
    <w:uiPriority w:val="11"/>
    <w:rPr>
      <w:sz w:val="24"/>
      <w:szCs w:val="24"/>
    </w:rPr>
  </w:style>
  <w:style w:type="paragraph" w:styleId="38">
    <w:name w:val="Quote"/>
    <w:basedOn w:val="672"/>
    <w:next w:val="67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2"/>
    <w:next w:val="67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72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73"/>
    <w:link w:val="42"/>
    <w:uiPriority w:val="99"/>
  </w:style>
  <w:style w:type="paragraph" w:styleId="44">
    <w:name w:val="Footer"/>
    <w:basedOn w:val="672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73"/>
    <w:link w:val="44"/>
    <w:uiPriority w:val="99"/>
  </w:style>
  <w:style w:type="paragraph" w:styleId="4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6">
    <w:name w:val="Footnote Text Char"/>
    <w:link w:val="682"/>
    <w:uiPriority w:val="99"/>
    <w:rPr>
      <w:sz w:val="18"/>
    </w:rPr>
  </w:style>
  <w:style w:type="paragraph" w:styleId="178">
    <w:name w:val="endnote text"/>
    <w:basedOn w:val="67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3"/>
    <w:uiPriority w:val="99"/>
    <w:semiHidden/>
    <w:unhideWhenUsed/>
    <w:rPr>
      <w:vertAlign w:val="superscript"/>
    </w:rPr>
  </w:style>
  <w:style w:type="paragraph" w:styleId="181">
    <w:name w:val="toc 1"/>
    <w:basedOn w:val="672"/>
    <w:next w:val="67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2"/>
    <w:next w:val="67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2"/>
    <w:next w:val="67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2"/>
    <w:next w:val="67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2"/>
    <w:next w:val="67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2"/>
    <w:next w:val="67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2"/>
    <w:next w:val="67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2"/>
    <w:next w:val="67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2"/>
    <w:next w:val="67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2"/>
    <w:next w:val="672"/>
    <w:uiPriority w:val="99"/>
    <w:unhideWhenUsed/>
    <w:pPr>
      <w:spacing w:after="0" w:afterAutospacing="0"/>
    </w:pPr>
  </w:style>
  <w:style w:type="paragraph" w:styleId="672" w:default="1">
    <w:name w:val="Normal"/>
    <w:qFormat/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paragraph" w:styleId="676">
    <w:name w:val="List Paragraph"/>
    <w:basedOn w:val="672"/>
    <w:uiPriority w:val="34"/>
    <w:qFormat/>
    <w:pPr>
      <w:contextualSpacing/>
      <w:ind w:left="720"/>
    </w:pPr>
  </w:style>
  <w:style w:type="character" w:styleId="677">
    <w:name w:val="Hyperlink"/>
    <w:basedOn w:val="673"/>
    <w:uiPriority w:val="99"/>
    <w:unhideWhenUsed/>
    <w:rPr>
      <w:color w:val="0000ff" w:themeColor="hyperlink"/>
      <w:u w:val="single"/>
    </w:rPr>
  </w:style>
  <w:style w:type="paragraph" w:styleId="678">
    <w:name w:val="Balloon Text"/>
    <w:basedOn w:val="672"/>
    <w:link w:val="679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79" w:customStyle="1">
    <w:name w:val="Текст выноски Знак"/>
    <w:basedOn w:val="673"/>
    <w:link w:val="678"/>
    <w:uiPriority w:val="99"/>
    <w:semiHidden/>
    <w:rPr>
      <w:rFonts w:ascii="Tahoma" w:hAnsi="Tahoma" w:cs="Tahoma"/>
      <w:sz w:val="16"/>
      <w:szCs w:val="16"/>
    </w:rPr>
  </w:style>
  <w:style w:type="paragraph" w:styleId="680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szCs w:val="20"/>
      <w:lang w:eastAsia="ru-RU"/>
    </w:rPr>
  </w:style>
  <w:style w:type="paragraph" w:styleId="681">
    <w:name w:val="No Spacing"/>
    <w:uiPriority w:val="1"/>
    <w:qFormat/>
    <w:pPr>
      <w:spacing w:after="0" w:line="240" w:lineRule="auto"/>
    </w:pPr>
  </w:style>
  <w:style w:type="paragraph" w:styleId="682">
    <w:name w:val="footnote text"/>
    <w:basedOn w:val="672"/>
    <w:link w:val="68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683" w:customStyle="1">
    <w:name w:val="Текст сноски Знак"/>
    <w:basedOn w:val="673"/>
    <w:link w:val="682"/>
    <w:uiPriority w:val="99"/>
    <w:semiHidden/>
    <w:rPr>
      <w:sz w:val="20"/>
      <w:szCs w:val="20"/>
    </w:rPr>
  </w:style>
  <w:style w:type="character" w:styleId="684">
    <w:name w:val="footnote reference"/>
    <w:basedOn w:val="673"/>
    <w:uiPriority w:val="99"/>
    <w:semiHidden/>
    <w:unhideWhenUsed/>
    <w:rPr>
      <w:vertAlign w:val="superscript"/>
    </w:rPr>
  </w:style>
  <w:style w:type="paragraph" w:styleId="685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hyperlink" Target="consultantplus://offline/ref=20BB35E2F4798C0180F95696E75F015BAFE5BF39CC5FAED381870FD56EB475BB5A06EF6D92712Cw9I3D" TargetMode="External"/><Relationship Id="rId10" Type="http://schemas.openxmlformats.org/officeDocument/2006/relationships/hyperlink" Target="consultantplus://offline/ref=20BB35E2F4798C0180F9489BF1335F52A5EEE232CF58AD85D9D1098231E473EE1A46E93BD4w3I1D" TargetMode="External"/><Relationship Id="rId11" Type="http://schemas.openxmlformats.org/officeDocument/2006/relationships/hyperlink" Target="consultantplus://offline/ref=20BB35E2F4798C0180F9489BF1335F52A5EEE232CF58AD85D9D1098231E473EE1A46E93BD7w3I4D" TargetMode="External"/><Relationship Id="rId12" Type="http://schemas.openxmlformats.org/officeDocument/2006/relationships/hyperlink" Target="https://mtsr.nso.ru/page/1235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47214-0683-4069-A107-C01BCA70B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Москалева Екатерина Михайловна</dc:creator>
  <cp:revision>28</cp:revision>
  <dcterms:created xsi:type="dcterms:W3CDTF">2025-02-04T06:57:00Z</dcterms:created>
  <dcterms:modified xsi:type="dcterms:W3CDTF">2025-02-05T03:52:23Z</dcterms:modified>
</cp:coreProperties>
</file>