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0" w:right="0" w:firstLine="0"/>
        <w:jc w:val="center"/>
        <w:rPr>
          <w:rFonts w:ascii="Arial" w:hAnsi="Arial" w:cs="Arial"/>
          <w:b w:val="0"/>
          <w:i w:val="0"/>
          <w:strike w:val="0"/>
          <w:sz w:val="0"/>
          <w:u w:val="none"/>
        </w:rPr>
      </w:pPr>
      <w:r>
        <w:rPr>
          <w:rFonts w:ascii="Arial" w:hAnsi="Arial" w:cs="Arial"/>
          <w:b w:val="0"/>
          <w:i w:val="0"/>
          <w:strike w:val="0"/>
          <w:sz w:val="0"/>
          <w:u w:val="none"/>
        </w:rPr>
      </w:r>
    </w:p>
    <w:p>
      <w:pPr>
        <w:pStyle w:val="Normal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МИНИСТЕРСТВО ТРУДА И СОЦИАЛЬНОГО РАЗВИТИЯ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НОВОСИБИРСКОЙ ОБЛАСТИ</w:t>
      </w:r>
    </w:p>
    <w:p>
      <w:pPr>
        <w:pStyle w:val="Normal"/>
        <w:ind w:left="0" w:right="0" w:firstLine="0"/>
        <w:jc w:val="center"/>
        <w:rPr>
          <w:rFonts w:ascii="Arial" w:hAnsi="Arial"/>
          <w:b/>
          <w:i w:val="0"/>
          <w:strike w:val="0"/>
          <w:sz w:val="20"/>
          <w:u w:val="none"/>
        </w:rPr>
      </w:pPr>
      <w:r>
        <w:rPr>
          <w:rFonts w:ascii="Arial" w:hAnsi="Arial"/>
          <w:b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ПРИКАЗ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от 30 января 2019 г. N 80</w:t>
      </w:r>
    </w:p>
    <w:p>
      <w:pPr>
        <w:pStyle w:val="Normal"/>
        <w:ind w:left="0" w:right="0" w:firstLine="0"/>
        <w:jc w:val="center"/>
        <w:rPr>
          <w:rFonts w:ascii="Arial" w:hAnsi="Arial"/>
          <w:b/>
          <w:i w:val="0"/>
          <w:strike w:val="0"/>
          <w:sz w:val="20"/>
          <w:u w:val="none"/>
        </w:rPr>
      </w:pPr>
      <w:r>
        <w:rPr>
          <w:rFonts w:ascii="Arial" w:hAnsi="Arial"/>
          <w:b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ОБ ОРГАНИЗАЦИИ СИСТЕМЫ ВНУТРЕННЕГО ОБЕСПЕЧЕНИЯ СООТВЕТСТВИЯ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ТРЕБОВАНИЯМ АНТИМОНОПОЛЬНОГО ЗАКОНОДАТЕЛЬСТВА В МИНИСТЕРСТВЕ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ТРУДА И СОЦИАЛЬНОГО РАЗВИТИЯ НОВОСИБИРСКОЙ ОБЛАСТИ</w:t>
      </w:r>
    </w:p>
    <w:p>
      <w:pPr>
        <w:pStyle w:val="Normal"/>
      </w:pP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0"/>
        <w:gridCol w:w="112"/>
        <w:gridCol w:w="9921"/>
        <w:gridCol w:w="113"/>
      </w:tblGrid>
      <w:tr>
        <w:tc>
          <w:tcPr>
            <w:tcW w:w="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ced3f1"/>
            <w:textDirection w:val="lrTb"/>
            <w:vAlign w:val="top"/>
          </w:tcPr>
          <w:p>
            <w:pPr>
              <w:pStyle w:val="Normal"/>
              <w:widowControl/>
              <w:spacing w:before="0" w:after="200" w:line="276" w:lineRule="auto"/>
              <w:jc w:val="left"/>
            </w:pPr>
          </w:p>
        </w:tc>
        <w:tc>
          <w:tcPr>
            <w:tcW w:w="1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widowControl/>
              <w:spacing w:before="0" w:after="200" w:line="276" w:lineRule="auto"/>
              <w:jc w:val="left"/>
            </w:pPr>
          </w:p>
        </w:tc>
        <w:tc>
          <w:tcPr>
            <w:tcW w:w="99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Список изменяющих документов</w:t>
            </w:r>
          </w:p>
          <w:p>
            <w:pPr>
              <w:pStyle w:val="Normal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(в ред. </w:t>
            </w:r>
            <w:r>
              <w:fldChar w:fldCharType="begin"/>
            </w:r>
            <w:r>
              <w:instrText xml:space="preserve"> HYPERLINK "consultantplus://offline/ref=AF1CB7236F7A9AD1D074EE5190BFDE4868E91C198ACED51D028912D193A3406C824AB3A6BAA744FE88E3AEF2A6789972EA9F17EC715C64665ED7B9C0n6qBI"</w:instrText>
            </w:r>
            <w:r>
              <w:fldChar w:fldCharType="separate"/>
            </w:r>
            <w:r>
              <w:rPr>
                <w:rFonts w:ascii="Arial" w:hAnsi="Arial"/>
                <w:b w:val="0"/>
                <w:i w:val="0"/>
                <w:strike w:val="0"/>
                <w:color w:val="0000ff"/>
                <w:sz w:val="20"/>
                <w:u w:val="none"/>
              </w:rPr>
              <w:t xml:space="preserve">приказа</w:t>
            </w:r>
            <w:r>
              <w:fldChar w:fldCharType="end"/>
            </w: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 Минтруда и соцразвития Новосибирской области</w:t>
            </w:r>
          </w:p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от 02.02.2022 N 71)</w:t>
            </w:r>
          </w:p>
        </w:tc>
        <w:tc>
          <w:tcPr>
            <w:tcW w:w="1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</w:r>
          </w:p>
        </w:tc>
      </w:tr>
    </w:tbl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В соответствии с </w:t>
      </w:r>
      <w:r>
        <w:fldChar w:fldCharType="begin"/>
      </w:r>
      <w:r>
        <w:instrText xml:space="preserve"> HYPERLINK "consultantplus://offline/ref=AF1CB7236F7A9AD1D074EE5190BFDE4868E91C198ACADB1B058E12D193A3406C824AB3A6A8A71CF28AE0B0F2A06DCF23ACnCq9I"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распоряжением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Губернатора Новосибирской области от 21.05.2018 N 102-р "О реализации Указа Президента Российской Федерации от 21.12.2017 N 618 "Об основных направлениях государственной политики по развитию конкуренции", </w:t>
      </w:r>
      <w:r>
        <w:fldChar w:fldCharType="begin"/>
      </w:r>
      <w:r>
        <w:instrText xml:space="preserve"> HYPERLINK "consultantplus://offline/ref=AF1CB7236F7A9AD1D074EE5190BFDE4868E91C198ACBD718028D12D193A3406C824AB3A6A8A71CF28AE0B0F2A06DCF23ACnCq9I"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распоряжением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Губернатора Новосибирской области от 26.12.2018 N 268-р "О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области" приказываю: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1. Утвердить прилагаемое </w:t>
      </w:r>
      <w:r>
        <w:fldChar w:fldCharType="begin"/>
      </w:r>
      <w:r>
        <w:instrText xml:space="preserve"> HYPERLINK  \l "Par34"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Положение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труда и социального развития Новосибирской области.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 Руководителям структурных подразделений министерства обеспечить соблюдение подчиненными сотрудниками требований </w:t>
      </w:r>
      <w:r>
        <w:fldChar w:fldCharType="begin"/>
      </w:r>
      <w:r>
        <w:instrText xml:space="preserve"> HYPERLINK  \l "Par34"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Положения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труда и социального развития Новосибирской области и их ознакомление с настоящим приказом.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3. Утратил силу. - </w:t>
      </w:r>
      <w:r>
        <w:fldChar w:fldCharType="begin"/>
      </w:r>
      <w:r>
        <w:instrText xml:space="preserve"> HYPERLINK "consultantplus://offline/ref=AF1CB7236F7A9AD1D074EE5190BFDE4868E91C198ACED51D028912D193A3406C824AB3A6BAA744FE88E3AEF2A5789972EA9F17EC715C64665ED7B9C0n6qBI"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Приказ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Минтруда и соцразвития Новосибирской области от 02.02.2022 N 71.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4. Контроль за исполнением приказа оставляю за собой.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Министр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Я.А.ФРОЛОВ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Утверждено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приказом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министерства труда 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социального развития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Новосибирской области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от 30.01.2019 N 80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ПОЛОЖЕНИЕ</w:t>
      </w:r>
      <w:bookmarkStart w:id="0" w:name="Par34"/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ОБ ОРГАНИЗАЦИИ СИСТЕМЫ ВНУТРЕННЕГО ОБЕСПЕЧЕНИЯ СООТВЕТСТВИЯ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ТРЕБОВАНИЯМ АНТИМОНОПОЛЬНОГО ЗАКОНОДАТЕЛЬСТВА В МИНИСТЕРСТВЕ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ТРУДА И СОЦИАЛЬНОГО РАЗВИТИЯ НОВОСИБИРСКОЙ ОБЛАСТИ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(ДАЛЕЕ - ПОЛОЖЕНИЕ)</w:t>
      </w:r>
    </w:p>
    <w:p>
      <w:pPr>
        <w:pStyle w:val="Normal"/>
      </w:pP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0"/>
        <w:gridCol w:w="112"/>
        <w:gridCol w:w="9921"/>
        <w:gridCol w:w="113"/>
      </w:tblGrid>
      <w:tr>
        <w:tc>
          <w:tcPr>
            <w:tcW w:w="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ced3f1"/>
            <w:textDirection w:val="lrTb"/>
            <w:vAlign w:val="top"/>
          </w:tcPr>
          <w:p>
            <w:pPr>
              <w:pStyle w:val="Normal"/>
              <w:widowControl/>
              <w:spacing w:before="0" w:after="200" w:line="276" w:lineRule="auto"/>
              <w:jc w:val="left"/>
            </w:pPr>
          </w:p>
        </w:tc>
        <w:tc>
          <w:tcPr>
            <w:tcW w:w="1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widowControl/>
              <w:spacing w:before="0" w:after="200" w:line="276" w:lineRule="auto"/>
              <w:jc w:val="left"/>
            </w:pPr>
          </w:p>
        </w:tc>
        <w:tc>
          <w:tcPr>
            <w:tcW w:w="99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Список изменяющих документов</w:t>
            </w:r>
          </w:p>
          <w:p>
            <w:pPr>
              <w:pStyle w:val="Normal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(в ред. </w:t>
            </w:r>
            <w:r>
              <w:fldChar w:fldCharType="begin"/>
            </w:r>
            <w:r>
              <w:instrText xml:space="preserve"> HYPERLINK "consultantplus://offline/ref=AF1CB7236F7A9AD1D074EE5190BFDE4868E91C198ACED51D028912D193A3406C824AB3A6BAA744FE88E3AEF2A4789972EA9F17EC715C64665ED7B9C0n6qBI"</w:instrText>
            </w:r>
            <w:r>
              <w:fldChar w:fldCharType="separate"/>
            </w:r>
            <w:r>
              <w:rPr>
                <w:rFonts w:ascii="Arial" w:hAnsi="Arial"/>
                <w:b w:val="0"/>
                <w:i w:val="0"/>
                <w:strike w:val="0"/>
                <w:color w:val="0000ff"/>
                <w:sz w:val="20"/>
                <w:u w:val="none"/>
              </w:rPr>
              <w:t xml:space="preserve">приказа</w:t>
            </w:r>
            <w:r>
              <w:fldChar w:fldCharType="end"/>
            </w: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 Минтруда и соцразвития Новосибирской области</w:t>
            </w:r>
          </w:p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  <w:t xml:space="preserve">от 02.02.2022 N 71)</w:t>
            </w:r>
          </w:p>
        </w:tc>
        <w:tc>
          <w:tcPr>
            <w:tcW w:w="1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4f3f8"/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0"/>
                <w:i w:val="0"/>
                <w:strike w:val="0"/>
                <w:color w:val="392c69"/>
                <w:sz w:val="20"/>
                <w:u w:val="none"/>
              </w:rPr>
            </w:r>
          </w:p>
        </w:tc>
      </w:tr>
    </w:tbl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I. Общие положения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1. Настоящее Положение разработано во исполнение </w:t>
      </w:r>
      <w:r>
        <w:fldChar w:fldCharType="begin"/>
      </w:r>
      <w:r>
        <w:instrText xml:space="preserve"> HYPERLINK "consultantplus://offline/ref=AF1CB7236F7A9AD1D074F05C86D3804163EA471382CCD9495FDB1486CCF34639D00AEDFFFBE057FF8BFDACF2A1n7q0I"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Указа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Президента Российской Федерации от 21.12.2017 N 618 "Об основных направлениях государственной политики по развитию конкуренции", в соответствии с </w:t>
      </w:r>
      <w:r>
        <w:fldChar w:fldCharType="begin"/>
      </w:r>
      <w:r>
        <w:instrText xml:space="preserve"> HYPERLINK "consultantplus://offline/ref=AF1CB7236F7A9AD1D074EE5190BFDE4868E91C198ACADB1B058E12D193A3406C824AB3A6A8A71CF28AE0B0F2A06DCF23ACnCq9I"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распоряжением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Губернатора Новосибирской области от 21.05.2018 N 102-р "О реализации Указа Президента Российской Федерации от 21.12.2017 N 618 "Об основных направлениях государственной политики по развитию конкуренции", </w:t>
      </w:r>
      <w:r>
        <w:fldChar w:fldCharType="begin"/>
      </w:r>
      <w:r>
        <w:instrText xml:space="preserve"> HYPERLINK "consultantplus://offline/ref=AF1CB7236F7A9AD1D074EE5190BFDE4868E91C198ACBD718028D12D193A3406C824AB3A6A8A71CF28AE0B0F2A06DCF23ACnCq9I"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распоряжением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Губернатора Новосибирской области от 26.12.2018 N 268-р "О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области" и определяет порядок внутреннего обеспечения соответствия требованиям антимонопольного законодательства в министерстве труда и социального развития Новосибирской области (далее - министерство, антимонопольный комплаенс).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2.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3. Государственные гражданские служащие и работники министерства (далее - сотрудники министерства) в своей деятельности обязаны соблюдать требования антимонопольного законодательства в строгом соответствии с целями, принципами и задачами, установленными настоящим Положением.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Нормы антимонопольного законодательства подлежат изучению сотрудниками министерства в ходе самообразования.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4. Гражданин при поступлении (приеме) на государственную службу (работу) в министерство должен быть ознакомлен в отделе контроля и кадровой работы управления организационно-кадровой работы с настоящим Положением.</w:t>
      </w:r>
    </w:p>
    <w:p>
      <w:pPr>
        <w:pStyle w:val="Normal"/>
        <w:ind w:left="0" w:right="0" w:firstLine="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(в ред. </w:t>
      </w:r>
      <w:r>
        <w:fldChar w:fldCharType="begin"/>
      </w:r>
      <w:r>
        <w:instrText xml:space="preserve"> HYPERLINK "consultantplus://offline/ref=AF1CB7236F7A9AD1D074EE5190BFDE4868E91C198ACED51D028912D193A3406C824AB3A6BAA744FE88E3AEF2A4789972EA9F17EC715C64665ED7B9C0n6qBI"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приказа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Минтруда и соцразвития Новосибирской области от 02.02.2022 N 71)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5. Нормативный правовой акт об антимонопольном комплаенсе размещается на официальном сайте министерства в информационно-телекоммуникационной сети "Интернет" (далее - официальный сайт).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II. Цели, задачи и принципы антимонопольного комплаенса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6. Целями антимонопольного комплаенса являются: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обеспечение соответствия деятельности министерства требованиям антимонопольного законодательства;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профилактика нарушений требований антимонопольного законодательства в деятельности министерства.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7. Задачи антимонопольного комплаенса: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выявление рисков нарушения антимонопольного законодательства;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управление рисками нарушения антимонопольного законодательства;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3) контроль соответствия деятельности министерства требованиям антимонопольного законодательства;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4) оценка эффективности функционирования в министерстве антимонопольного комплаенса.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8. Принципы антимонопольного комплаенса: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заинтересованность министерства в эффективности функционирования антимонопольного комплаенса;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регулярность оценки рисков нарушения антимонопольного законодательства;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3) информационная открытость функционирования действующего в министерстве антимонопольного комплаенса;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4) непрерывность функционирования антимонопольного комплаенса в министерстве;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5) совершенствование антимонопольного комплаенса.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III. Организация контроля за реализацией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антимонопольного комплаенса в министерстве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9. Общий контроль за организацией и функционированием в министерстве антимонопольного комплаенса осуществляется министром труда и социального развития Новосибирской области (далее - министр), который: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принимает нормативные правовые акты, регламентирующие функционирование антимонопольного комплаенса;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утверждает карту рисков нарушения антимонопольного законодательства министерства;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3) организует направление ежегодного доклада об антимонопольном комплаенсе в министерство экономического развития Новосибирской области.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10. Организацию работы по реализации антимонопольного комплаенса в министерстве осуществляет уполномоченное должностное лицо, которое назначается приказом министерства.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11. К компетенции уполномоченного должностного лица относятся следующие функции: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выявление рисков нарушения антимонопольного законодательства, определение мер по их минимизации: разработка </w:t>
      </w:r>
      <w:r>
        <w:fldChar w:fldCharType="begin"/>
      </w:r>
      <w:r>
        <w:instrText xml:space="preserve"> HYPERLINK  \l "Par150"</w:instrText>
      </w:r>
      <w:r>
        <w:fldChar w:fldCharType="separate"/>
      </w:r>
      <w:r>
        <w:rPr>
          <w:rFonts w:ascii="Arial" w:hAnsi="Arial"/>
          <w:b w:val="0"/>
          <w:i w:val="0"/>
          <w:strike w:val="0"/>
          <w:color w:val="0000ff"/>
          <w:sz w:val="20"/>
          <w:u w:val="none"/>
        </w:rPr>
        <w:t xml:space="preserve">карты</w:t>
      </w:r>
      <w:r>
        <w:fldChar w:fldCharType="end"/>
      </w: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 рисков нарушения антимонопольного законодательства по форме согласно приложению к настоящему Положению;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консультирование сотрудников министерства по вопросам, связанным с соблюдением антимонопольного законодательства и антимонопольным комплаенсом;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3) взаимодействие со структурными подразделениями министерства по вопросам, связанным с антимонопольным комплаенсом.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12. Оценку эффективности организации и функционирования в министерстве антимонопольного комплаенса осуществляет коллегиальный орган - общественный совет при министерстве, к функциям которого относятся: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рассмотрение и согласование карты рисков нарушения антимонопольного законодательства;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рассмотрение и согласование ежегодного доклада об антимонопольном комплаенсе.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IV. Выявление, предупреждение и оценка рисков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нарушения антимонопольного законодательства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13. Сотрудники министерства при ежедневном осуществлении своих должностных обязанностей должны соблюдать требования антимонопольного законодательства, запреты на совершение антиконкурентных действий и предупреждать возникающие риски нарушения антимонопольного законодательства.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В целях предупреждения рисков нарушения требований антимонопольного законодательства сотрудники министерства обязаны информировать непосредственного руководителя о рисках нарушения и выявленных нарушениях требований антимонопольного законодательства.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14. Процесс выявления и недопущения рисков нарушения требований антимонопольного законодательства является обязательным для сотрудников министерства, осуществляющих деятельность, связанную с применением норм антимонопольного законодательства.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15. Руководитель структурного подразделения министерства при поступлении информации о выявленных рисках нарушения требований антимонопольного законодательства сообщает об этом уполномоченному должностному лицу и представляет предложения по минимизации рисков либо устранению нарушений в форме служебной записки.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Уполномоченное должностное лицо оценивает полученную информацию и при необходимости вносит изменения в карту рисков нарушения антимонопольного законодательства.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16. В целях минимизации рисков нарушения антимонопольного законодательства в министерстве проводятся следующие мероприятия: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анализ выявленных нарушений антимонопольного законодательства в деятельности министерства за отчетный год (наличие предостережений, предупреждений, штрафов, жалоб, возбужденных дел);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анализ нормативных правовых актов и проектов нормативных правовых актов министерства, регламентирующих антимонопольный комплаенс;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3) оценка документации о закупках товаров, работ, услуг для государственных нужд;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4) выработка процедур принятия решений о закупках товаров, работ, услуг для государственных нужд;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5) информирование и консультирование сотрудников министерства о положениях антимонопольного законодательства.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17. При проведении анализа нормативных правовых актов и проектов правовых актов министерства, регламентирующих антимонопольный комплаенс, уполномоченным должностным лицом реализуются следующие мероприятия: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размещение на официальном сайте министерства нормативных правовых актов министерства с приложением текстов таких актов, за исключением актов, содержащих сведения, относящиеся к охраняемой законом тайне;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размещение на официальном сайте министерства уведомления о начале сбора замечаний и предложений граждан и организаций по нормативным правовым актам и проектам правовых актов министерства;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3) осуществление сбора и проведение оценки поступивших от граждан и организаций замечаний и предложений по нормативным правовым актам и проектам правовых актов министерства;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4) представление министру сводного доклада с обоснованием целесообразности (нецелесообразности) внесения изменений в нормативные правовые акты министерства.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18.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V. Оценка эффективности функционирования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в министерстве антимонопольного комплаенса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19. В целях оценки эффективности функционирования в министерстве антимонопольного комплаенса приказом министерства устанавливаются ключевые показатели эффективности реализации мероприятий антимонопольного комплаенса.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20. Уполномоченное должностное лицо проводит (не реже одного раза в год) оценку достижения ключевых показателей эффективности антимонопольного комплаенса в министерстве.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21. Информация о достижении ключевых показателей эффективности функционирования в министерстве антимонопольного комплаенса включается в доклад об антимонопольном комплаенсе.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VI. Доклад об антимонопольном комплаенсе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22. Доклад об антимонопольном комплаенсе содержит следующую информацию: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1) о карте рисков (принятии, внесении изменений) нарушений антимонопольного законодательства;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2) о мероприятиях по снижению рисков нарушения министерством антимонопольного законодательства, реализованных в отчетном году;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3) о достижении ключевых показателей эффективности антимонопольного комплаенса.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23. Доклад об антимонопольном комплаенсе ежегодно представляется в коллегиальный орган на согласование уполномоченным должностным лицом в срок до 1 февраля года, следующего за отчетным.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24. Доклад об антимонопольном комплаенсе, согласованный коллегиальным органом, представляется на утверждение министру.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25. Утвержденный доклад об антимонопольном комплаенсе размещается на официальном сайте министерства.</w:t>
      </w:r>
    </w:p>
    <w:p>
      <w:pPr>
        <w:pStyle w:val="Normal"/>
        <w:spacing w:before="200" w:after="200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26. Доклад об антимонопольном комплаенсе направляется ежегодно в срок до 15 февраля года, следующего за отчетным, в министерство экономического развития Новосибирской области.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/>
          <w:i w:val="0"/>
          <w:strike w:val="0"/>
          <w:sz w:val="20"/>
          <w:u w:val="none"/>
        </w:rPr>
        <w:t xml:space="preserve">VII. Ответственность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27. При нарушении требований антимонопольного законодательства допустивший их сотрудник несет ответственность в соответствии с законодательством Российской Федерации.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Приложение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к Положению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об организации системы внутреннего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обеспечения соответствия требованиям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антимонопольного законодательства в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министерстве труда и социального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развития Новосибирской области</w:t>
      </w:r>
    </w:p>
    <w:p>
      <w:pPr>
        <w:pStyle w:val="Normal"/>
        <w:ind w:left="0" w:right="0" w:firstLine="0"/>
        <w:jc w:val="right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форма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Утверждена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приказом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министерства труда 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социального развития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Новосибирской области</w:t>
      </w:r>
    </w:p>
    <w:p>
      <w:pPr>
        <w:pStyle w:val="Normal"/>
        <w:ind w:left="0" w:right="0" w:firstLine="0"/>
        <w:jc w:val="right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от 30.01.2019 N 80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Карта рисков нарушения антимонопольного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законодательства министерства труда и</w:t>
      </w:r>
    </w:p>
    <w:p>
      <w:pPr>
        <w:pStyle w:val="Normal"/>
        <w:ind w:left="0" w:right="0" w:firstLine="0"/>
        <w:jc w:val="center"/>
      </w:pPr>
      <w:r>
        <w:rPr>
          <w:rFonts w:ascii="Arial" w:hAnsi="Arial"/>
          <w:b w:val="0"/>
          <w:i w:val="0"/>
          <w:strike w:val="0"/>
          <w:sz w:val="20"/>
          <w:u w:val="none"/>
        </w:rPr>
        <w:t xml:space="preserve">социального развития Новосибирской области</w:t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tbl>
      <w:tblPr>
        <w:tblW w:w="0" w:type="auto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5"/>
        <w:gridCol w:w="1866"/>
        <w:gridCol w:w="1590"/>
        <w:gridCol w:w="1870"/>
        <w:gridCol w:w="1299"/>
        <w:gridCol w:w="3860"/>
        <w:gridCol w:w="2551"/>
      </w:tblGrid>
      <w:t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N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/>
              <w:spacing w:before="0" w:after="200" w:line="276" w:lineRule="auto"/>
              <w:ind w:left="-227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Наименование полномочия, реализация которого связана с рисками нарушения антимонопольного законодательства/ситуации риска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Наименование структурного подразделения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Наименование должности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Действия, при которых может возникнуть риск нарушения антимонопольного законодательства/ситуация риска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Степень риска (низкая, средняя, высокая)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before="0" w:after="200"/>
              <w:ind w:left="0" w:right="0" w:firstLine="0"/>
              <w:jc w:val="center"/>
            </w:pPr>
            <w:r>
              <w:rPr>
                <w:rFonts w:ascii="Arial" w:hAnsi="Arial"/>
                <w:b w:val="0"/>
                <w:i w:val="0"/>
                <w:strike w:val="0"/>
                <w:sz w:val="20"/>
                <w:u w:val="none"/>
              </w:rPr>
              <w:t xml:space="preserve">Меры по минимизации (устранению) риска</w:t>
            </w:r>
          </w:p>
        </w:tc>
      </w:tr>
    </w:tbl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ind w:left="0" w:right="0" w:firstLine="540"/>
        <w:jc w:val="both"/>
        <w:rPr>
          <w:rFonts w:ascii="Arial" w:hAnsi="Arial"/>
          <w:b w:val="0"/>
          <w:i w:val="0"/>
          <w:strike w:val="0"/>
          <w:sz w:val="20"/>
          <w:u w:val="none"/>
        </w:rPr>
      </w:pPr>
      <w:r>
        <w:rPr>
          <w:rFonts w:ascii="Arial" w:hAnsi="Arial"/>
          <w:b w:val="0"/>
          <w:i w:val="0"/>
          <w:strike w:val="0"/>
          <w:sz w:val="20"/>
          <w:u w:val="none"/>
        </w:rPr>
      </w:r>
    </w:p>
    <w:p>
      <w:pPr>
        <w:pStyle w:val="Normal"/>
        <w:pBdr>
          <w:top w:val="single" w:color="000000" w:sz="6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00" w:after="100"/>
        <w:ind w:left="0" w:right="0" w:firstLine="0"/>
        <w:jc w:val="both"/>
        <w:rPr>
          <w:rFonts w:ascii="Arial" w:hAnsi="Arial"/>
          <w:b w:val="0"/>
          <w:i w:val="0"/>
          <w:strike w:val="0"/>
          <w:sz w:val="0"/>
          <w:u w:val="none"/>
        </w:rPr>
      </w:pPr>
      <w:r>
        <w:rPr>
          <w:rFonts w:ascii="Arial" w:hAnsi="Arial"/>
          <w:b w:val="0"/>
          <w:i w:val="0"/>
          <w:strike w:val="0"/>
          <w:sz w:val="0"/>
          <w:u w:val="none"/>
        </w:rPr>
      </w:r>
    </w:p>
    <w:sectPr>
      <w:footnotePr>
        <w:numRestart w:val="continuous"/>
      </w:footnotePr>
      <w:type w:val="nextPage"/>
      <w:pgSz w:w="11906" w:h="16838"/>
      <w:pgMar w:top="567" w:right="567" w:bottom="851" w:left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Tahoma">
    <w:panose1 w:val="020B0604030504040204"/>
  </w:font>
  <w:font w:name="font">
    <w:panose1 w:val="02000603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  <w:spacing w:before="0" w:after="200" w:line="276" w:lineRule="auto"/>
      <w:jc w:val="left"/>
    </w:pPr>
    <w:rPr>
      <w:rFonts w:ascii="Calibri" w:hAnsi="Calibri" w:eastAsia="Calibri" w:cs="font"/>
      <w:color w:val="auto"/>
      <w:sz w:val="22"/>
      <w:szCs w:val="22"/>
      <w:lang w:val="ru-RU" w:eastAsia="en-US" w:bidi="ar-SA"/>
    </w:rPr>
  </w:style>
  <w:style w:type="character" w:styleId="UserStyle_0">
    <w:name w:val="Default Paragraph Font"/>
    <w:next w:val="UserStyle_0"/>
    <w:link w:val="Normal"/>
  </w:style>
  <w:style w:type="character" w:styleId="UserStyle_1">
    <w:name w:val="Текст выноски Знак"/>
    <w:basedOn w:val="UserStyle_0"/>
    <w:next w:val="UserStyle_1"/>
    <w:link w:val="Normal"/>
    <w:rPr>
      <w:rFonts w:ascii="Tahoma" w:hAnsi="Tahoma" w:cs="Tahoma"/>
      <w:sz w:val="16"/>
      <w:szCs w:val="16"/>
    </w:rPr>
  </w:style>
  <w:style w:type="character" w:styleId="Hyperlink">
    <w:name w:val="Интернет-ссылка"/>
    <w:next w:val="Hyperlink"/>
    <w:link w:val="Normal"/>
    <w:rPr>
      <w:color w:val="000080"/>
      <w:u w:val="single"/>
      <w:lang w:val="en-US" w:eastAsia="en-US" w:bidi="en-US"/>
    </w:rPr>
  </w:style>
  <w:style w:type="paragraph" w:styleId="UserStyle_2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">
    <w:name w:val="Указатель"/>
    <w:basedOn w:val="Normal"/>
    <w:next w:val="UserStyle_3"/>
    <w:link w:val="Normal"/>
    <w:pPr>
      <w:suppressLineNumbers/>
    </w:pPr>
    <w:rPr>
      <w:rFonts w:cs="Droid Sans Devanagari"/>
    </w:rPr>
  </w:style>
  <w:style w:type="paragraph" w:styleId="UserStyle_4">
    <w:name w:val="Balloon Text"/>
    <w:basedOn w:val="Normal"/>
    <w:next w:val="UserStyle_4"/>
    <w:link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UserStyle_5">
    <w:name w:val="Содержимое таблицы"/>
    <w:basedOn w:val="Normal"/>
    <w:next w:val="UserStyle_5"/>
    <w:link w:val="Normal"/>
    <w:pPr>
      <w:suppressLineNumbers/>
    </w:pPr>
  </w:style>
  <w:style w:type="paragraph" w:styleId="UserStyle_6">
    <w:name w:val="Заголовок таблицы"/>
    <w:basedOn w:val="UserStyle_5"/>
    <w:next w:val="UserStyle_6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30.01.2019 N 80(ред. от 02.02.2022)"Об организации системы внутреннего обеспечения соответствия требованиям антимонопольного законодательства в министерстве труда и социального развития Новосибирской области"</dc:title>
  <dc:creator>Скоромных Наталья Юрьевна</dc:creator>
  <cp:revision>23</cp:revision>
  <dcterms:created xsi:type="dcterms:W3CDTF">2023-03-23T08:42:00Z</dcterms:created>
  <dcterms:modified xsi:type="dcterms:W3CDTF">2023-03-23T08:43:00Z</dcterms:modified>
</cp:coreProperties>
</file>