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bookmarkStart w:id="1" w:name="P130"/>
      <w:bookmarkEnd w:id="1"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программы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Новосибирской области на 2021-2024 годы» в 2024 году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министерство труда и социального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6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195" w:type="dxa"/>
        <w:tblInd w:w="-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05"/>
        <w:gridCol w:w="6515"/>
        <w:gridCol w:w="6975"/>
      </w:tblGrid>
      <w:tr>
        <w:trPr/>
        <w:tblPrEx/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 принятие нормативных правовых актов ОИОГВ НСО, администрации в сфере прот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министерством труда и социального развития Новосибирской области (далее – министерство) приняты необходимые нормативные правовые акты/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61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ОИОГВ НСО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2024 год проведена антикоррупционная экспертиза проектов нормативных правовых актов министерства.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Проведена оценка регулирующего воздействия в отношении 8 проектов постановлений Правительства Новосибирской области, 2 проектов постановлений Губернатора Новосибирской области.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размещения проектов нормативных правовых актов Новосибирской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ласти, проектов нормативных правовых актов ОИОГВ НСО, администрации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Интернет было размещено 214 проектов приказов министерства, а также 163 проекта нормативных правовых актов Новосибирской области (законопроектов, проектов постановлений Правительства Новосибирской области, Губернатора Новосибирской области).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граждан при поступлении на государственную гражданскую службу Новосибирской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ласти с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№ 119 «О Кодексе этики и служебного поведения государственных гражданских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служащих Новосибирской области»,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назначении на должность государственные гражданские служащие (далее – гражданские служащие) министерства знакомятся с Кодексом этики и служебного поведения гражданских служ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 в ОИОГВ НСО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 целях соблюдения требований законодательства о противодей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ствии коррупции в министерстве организована работа по ознакомлению при приеме на государственную гражданскую службу (далее – гражданская служба) с нормативными правовыми актами, памятками, методическими рекомендациями по вопросам противодействия коррупции.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pStyle w:val="661"/>
              <w:ind w:left="0" w:right="0" w:firstLine="301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При увольнен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ии с гражданской службы, в соответствии с приказом министерства от 27.07.2020 № 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ind w:left="0" w:right="0" w:firstLine="0"/>
              <w:jc w:val="both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 министерстве систематически проводится оценка коррупционных рисков, возникающих при реализации гражданскими служащими министерства функций министерства.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ind w:left="0" w:right="0" w:firstLine="0"/>
              <w:jc w:val="both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Принятие мер по выявлению личной заинтересованности при осуществлении закупок товаров, работ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и услуг для обеспечения государственных нужд Новосибирской области, в том числе: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инистерстве при осуществлении закупок для 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аффилированности.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в министерстве действует рабочая группа по повышению эффективности закупочной деятельности в Новосибирской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выявления и исключения фактов, содержащих признаки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интересов, скрытой аффилированности, проводится проверка обоснованности начальной (максимальной) цены   (далее – НМЦК) закупаемых товаров, работ, услуг среднерыночным ценам на данный вид товаров, работ, услуг, посредством сравнения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коммерческих предложений со сведениями единой информационной системы в сфере закупок, Новосибирскстата и аналогичных предложений в сети Интернет. 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сведения о доходах, расходах, об имуществе и обязательствах имущественного характера (далее – сведения о доходах) представлялись гражданскими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лужащими министерства в соответствии с перечнем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ласти обязаны представлять сведения о доходах, об имуществе и обязательствах имущественного характера.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Осуществление взаимодействия в соответствии с федеральным зако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ходе контроля за соблюдением гражданскими служащими министерства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при реализации национальных и федеральных проектов, взаимодействие с правоохранительными органами, иными территориальными органами федеральных органов исполнительной власти в Новосибирской области не осуществлялось ввиду отсутствия оснований.</w:t>
            </w:r>
          </w:p>
        </w:tc>
      </w:tr>
      <w:tr>
        <w:trPr/>
        <w:tblPrEx/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Проведение анализа состояния работы по предупреждению коррупции в государственны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х учреждениях Новосибирской области и организациях, созданных для выполнения задач, поставленных перед ОИОГВ НСО, в том числе: обеспечение мониторинга реализации мер по противодействию коррупции в государственных учреждениях Новосибирской области и организ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обеспечивается сбор информации относительного каждого государственного учреждения, подведомственного министерству, проводится анализ состояния работы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по предупреждению коррупции. 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рской области и урегулированию конфликта 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проведен</w:t>
            </w:r>
            <w:r>
              <w:rPr>
                <w:rFonts w:ascii="Times New Roman" w:hAnsi="Times New Roman" w:eastAsia="Calibri" w:cs="Arial"/>
                <w:color w:val="auto"/>
                <w:sz w:val="28"/>
                <w:szCs w:val="28"/>
                <w:lang w:val="ru-RU" w:eastAsia="en-US" w:bidi="ar-SA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 заседания комиссии. </w:t>
            </w:r>
          </w:p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рассмотрения приняты необходимые решения.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https://mtsr.nso.ru/page/1293.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Организация и проведение семинаров и совещаний, иных обучающих мероприятий по вопросам профилактики коррупции, в том числе: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631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1) 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правонарушений;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631"/>
              <w:spacing w:before="0" w:after="16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2) с лицами, замещающими должности в ОИОГВ НСО и бюджетных учр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году с 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подведомственных учреждений министерством организованы и проведены следующие мероприятия:</w:t>
            </w:r>
          </w:p>
          <w:p>
            <w:pPr>
              <w:pStyle w:val="631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а) 28.11.2024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специалистами министерства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val="ru-RU" w:eastAsia="ru-RU" w:bidi="ar-SA"/>
              </w:rPr>
              <w:t xml:space="preserve">во взаимодействии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сотрудник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val="ru-RU" w:eastAsia="ru-RU" w:bidi="ar-SA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ской области, с участием представителей прокуратуры Новосибирской области, Следственного управления Следственного комитета по Новосибирской области в рамках Плана совместных мероприятий Общественной палаты Новосибирской области, областных исполнительных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ганов Новосибирской области, государственнных органов Новосибирской области по повышению роли гражданского общества в противодействии коррупции на 2024-2026 годы, утвержденного распоряжением Губернатора Новосибирской области от 22.02.2024 № 35-р,</w:t>
            </w:r>
            <w:r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 во исполнение пункта 3.16 программы «Противодействие коррупции в Новосибирской области на 2021 - 2024 годы», утвержденной постановлением Г</w:t>
            </w:r>
            <w:r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убернатора Новосибирской области от 27.09.2021 № 194, пункта 4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 15.02.2022 № 43-п, проведено совещание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szCs w:val="28"/>
                <w:lang w:eastAsia="ru-RU"/>
              </w:rPr>
              <w:t xml:space="preserve">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</w:p>
          <w:p>
            <w:pPr>
              <w:pStyle w:val="631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  <w:lang w:eastAsia="ru-RU"/>
              </w:rPr>
              <w:t xml:space="preserve">)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на постоянной основе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  <w:lang w:eastAsia="ru-RU"/>
              </w:rPr>
              <w:t xml:space="preserve"> в министерстве проводятся селекторные совещания с директорами подведомственных учре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ждений, на которых по мере необходимости рассматриваются вопросы противодействия коррупции;</w:t>
            </w:r>
          </w:p>
          <w:p>
            <w:pPr>
              <w:pStyle w:val="631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2) в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служащи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министерства, в должностные обязанности котор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ых входит участие в проведении закупок товаров, работ и услуг для обеспечения государственных нужд,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ru-RU"/>
              </w:rPr>
              <w:t xml:space="preserve">прошли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квалификации по теме «Основы профилактики коррупции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служащие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министерства, участвующи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eastAsia="ru-RU"/>
              </w:rPr>
              <w:t xml:space="preserve">в реализации национальных и федеральных проектов, прош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ru-RU" w:eastAsia="ru-RU" w:bidi="ar-SA"/>
              </w:rPr>
              <w:t xml:space="preserve">ли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eastAsia="ru-RU"/>
              </w:rPr>
              <w:t xml:space="preserve"> очно-дистанционный курс по программе повышения квалификации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szCs w:val="28"/>
                <w:u w:val="none"/>
                <w:lang w:eastAsia="ru-RU"/>
              </w:rPr>
              <w:t xml:space="preserve">«Минимизация рисков коррупционных правонарушений при реализации национальных и федеральных проект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szCs w:val="28"/>
                <w:u w:val="none"/>
                <w:lang w:val="ru-RU" w:eastAsia="ru-RU" w:bidi="ar-SA"/>
              </w:rPr>
              <w:t xml:space="preserve">ах ПК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szCs w:val="28"/>
                <w:u w:val="none"/>
                <w:lang w:eastAsia="ru-RU"/>
              </w:rPr>
              <w:t xml:space="preserve">».</w:t>
            </w:r>
          </w:p>
        </w:tc>
      </w:tr>
      <w:tr>
        <w:trPr/>
        <w:tblPrEx/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комиссии по соблюдению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к служебному поведению государственных гражданских служащих и урегулированию конфликта интересов министерства входит представитель общественного совета при министерстве.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>
            <w:pPr>
              <w:pStyle w:val="631"/>
              <w:spacing w:before="0" w:after="16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общественного совета, образованного при министерстве,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проводятся по мере необходимости.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Обеспечение рассмотрения на заседаниях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на заседани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совета, образованного при министерстве,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рассмотрен вопрос о внесении изменений в карту коррупционных рисков министерства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. </w:t>
            </w:r>
          </w:p>
          <w:p>
            <w:pPr>
              <w:pStyle w:val="631"/>
              <w:spacing w:before="0"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Рассмотрен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на общественном совете вопрос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об исполне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№ 194, Плана мероприятий по противодействию коррупции в министерстве за 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год, запланировано на 1 квартал 2025 года.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 министерстве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eastAsia="Calibri" w:cs="Times New Roman CYR"/>
                <w:sz w:val="28"/>
                <w:szCs w:val="28"/>
              </w:rPr>
              <w:t xml:space="preserve">нформация о проведенных заседаниях комиссии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соблюдению требований к служебному поведению гражданских служащих и урегулированию конфликта интересов</w:t>
            </w:r>
            <w:r>
              <w:rPr>
                <w:rFonts w:ascii="Times New Roman" w:hAnsi="Times New Roman" w:eastAsia="Calibri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Calibri" w:cs="Times New Roman CYR"/>
                <w:color w:val="000000"/>
                <w:sz w:val="28"/>
                <w:szCs w:val="28"/>
                <w:u w:val="none"/>
              </w:rPr>
              <w:t xml:space="preserve">о проведенных мероприятиях в области противодействия коррупции </w:t>
            </w:r>
            <w:r>
              <w:rPr>
                <w:rFonts w:ascii="Times New Roman" w:hAnsi="Times New Roman" w:eastAsia="Calibri" w:cs="Times New Roman CYR"/>
                <w:sz w:val="28"/>
                <w:szCs w:val="28"/>
              </w:rPr>
              <w:t xml:space="preserve">размещается на странице официального сайта министерства                      в информационно-телекоммуникационной сети «Интернет» (</w:t>
            </w:r>
            <w:hyperlink r:id="rId9" w:tooltip="https://mtsr.nso.ru/page/1293" w:history="1">
              <w:r>
                <w:rPr>
                  <w:rFonts w:ascii="Times New Roman" w:hAnsi="Times New Roman" w:eastAsia="Calibri" w:cs="Times New Roman CYR"/>
                  <w:color w:val="000000"/>
                  <w:sz w:val="28"/>
                  <w:szCs w:val="28"/>
                  <w:u w:val="none"/>
                </w:rPr>
                <w:t xml:space="preserve">https://mtsr.nso.ru/page/1293</w:t>
              </w:r>
            </w:hyperlink>
            <w:r>
              <w:rPr>
                <w:rFonts w:ascii="Times New Roman" w:hAnsi="Times New Roman" w:eastAsia="Calibri" w:cs="Times New Roman CYR"/>
                <w:color w:val="000000"/>
                <w:sz w:val="28"/>
                <w:szCs w:val="28"/>
                <w:u w:val="none"/>
              </w:rPr>
              <w:t xml:space="preserve">; https://mtsr.nso.ru/page/1281). </w:t>
            </w:r>
          </w:p>
          <w:p>
            <w:pPr>
              <w:pStyle w:val="661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661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</w:t>
            </w:r>
            <w:hyperlink r:id="rId10" w:tooltip="https://login.consultant.ru/link/?req=doc&amp;base=RLAW049&amp;n=164109" w:history="1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постановлением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Губернатора Новосибирской области от 16.05.2017 № 103 «Об утверждении Порядка опубликования нормативных правовых актов Губернатора Новосибирской облас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обеспечено опубликование приказов министерства, регулирующих вопросы противодействия коррупции.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Обеспеч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взаимодействие министерства со средствами массовой информации в освещении мер по противодействию коррупции не осуществлялось ввиду отсутствия фактов коррупции.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гражданские служащие министерства, </w:t>
            </w:r>
            <w:r>
              <w:rPr>
                <w:rFonts w:ascii="Times New Roman" w:hAnsi="Times New Roman" w:eastAsia="Calibri" w:cs="Times New Roman CYR"/>
                <w:sz w:val="28"/>
                <w:szCs w:val="28"/>
              </w:rPr>
              <w:t xml:space="preserve">впервые назначенные на должность, </w:t>
            </w:r>
            <w:r>
              <w:rPr>
                <w:rFonts w:ascii="Times New Roman" w:hAnsi="Times New Roman" w:eastAsia="Calibri" w:cs="Times New Roman CYR"/>
                <w:sz w:val="28"/>
                <w:szCs w:val="28"/>
              </w:rPr>
              <w:t xml:space="preserve">прошли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дистанционный курс по теме «Предотвращение и урегулирование конфликта интересов на государственной (муниципальной) службе».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 должнос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гражданские служащие министерства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рошли повышение квалификации по теме «Противодействие коррупции» и «Противодействие коррупции в органах государственной власти и органах местного самоуправления».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государственных гражданских служащих Новосибирской области, в должностные обязанности которых входит участие в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1 гражданский служащий министерства,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в должностные обязанности которого входит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закупок товаров, работ и услуг для обеспечения государственных нужд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, прошел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по теме «Основы профилактики коррупции в сфере закупок товаров, работ, услуг для обеспечения государственных и муниципальных нужд».</w:t>
            </w:r>
          </w:p>
        </w:tc>
      </w:tr>
      <w:tr>
        <w:trPr/>
        <w:tblPrEx/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5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Организация ежегодного обучения работников государстве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  <w:tc>
          <w:tcPr>
            <w:tcW w:w="6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631"/>
              <w:spacing w:before="0" w:after="160"/>
              <w:ind w:left="0" w:right="0" w:firstLine="0"/>
              <w:jc w:val="both"/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 2024 году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ru-RU" w:eastAsia="en-US" w:bidi="ar-SA"/>
              </w:rPr>
              <w:t xml:space="preserve">77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работников подведомственных министерству учреждений прошли </w:t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ru-RU" w:eastAsia="en-US" w:bidi="ar-SA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бучение по дополнительным профессиональным программам в области противодействия коррупции. </w:t>
            </w:r>
          </w:p>
        </w:tc>
      </w:tr>
    </w:tbl>
    <w:p>
      <w:pPr>
        <w:pStyle w:val="661"/>
        <w:spacing w:before="22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sectPr>
      <w:headerReference w:type="default" r:id="rId8"/>
      <w:footnotePr/>
      <w:endnotePr/>
      <w:type w:val="nextPage"/>
      <w:pgSz w:w="16838" w:h="11906" w:orient="landscape"/>
      <w:pgMar w:top="1135" w:right="567" w:bottom="1134" w:left="1418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DejaVu Sans">
    <w:panose1 w:val="020B06030308040202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3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1"/>
    <w:next w:val="63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4"/>
    <w:link w:val="666"/>
    <w:uiPriority w:val="99"/>
  </w:style>
  <w:style w:type="character" w:styleId="45">
    <w:name w:val="Footer Char"/>
    <w:basedOn w:val="634"/>
    <w:link w:val="667"/>
    <w:uiPriority w:val="99"/>
  </w:style>
  <w:style w:type="character" w:styleId="47">
    <w:name w:val="Caption Char"/>
    <w:basedOn w:val="656"/>
    <w:link w:val="66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0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1"/>
    <w:next w:val="63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1"/>
    <w:next w:val="63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1"/>
    <w:next w:val="63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1"/>
    <w:next w:val="63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1"/>
    <w:next w:val="63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1"/>
    <w:next w:val="63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1"/>
    <w:next w:val="63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1"/>
    <w:next w:val="63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32">
    <w:name w:val="Heading 2"/>
    <w:basedOn w:val="653"/>
    <w:next w:val="654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633">
    <w:name w:val="Heading 3"/>
    <w:basedOn w:val="653"/>
    <w:next w:val="654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634" w:default="1">
    <w:name w:val="Default Paragraph Font"/>
    <w:qFormat/>
  </w:style>
  <w:style w:type="character" w:styleId="635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636">
    <w:name w:val="annotation reference"/>
    <w:qFormat/>
    <w:rPr>
      <w:sz w:val="16"/>
      <w:szCs w:val="16"/>
    </w:rPr>
  </w:style>
  <w:style w:type="character" w:styleId="637">
    <w:name w:val="Текст примечания Знак"/>
    <w:qFormat/>
    <w:rPr>
      <w:lang w:eastAsia="en-US"/>
    </w:rPr>
  </w:style>
  <w:style w:type="character" w:styleId="638">
    <w:name w:val="Тема примечания Знак"/>
    <w:qFormat/>
    <w:rPr>
      <w:b/>
      <w:bCs/>
      <w:lang w:eastAsia="en-US"/>
    </w:rPr>
  </w:style>
  <w:style w:type="character" w:styleId="639">
    <w:name w:val="Верхний колонтитул Знак"/>
    <w:qFormat/>
    <w:rPr>
      <w:sz w:val="22"/>
      <w:szCs w:val="22"/>
      <w:lang w:eastAsia="en-US"/>
    </w:rPr>
  </w:style>
  <w:style w:type="character" w:styleId="640">
    <w:name w:val="Нижний колонтитул Знак"/>
    <w:qFormat/>
    <w:rPr>
      <w:sz w:val="22"/>
      <w:szCs w:val="22"/>
      <w:lang w:eastAsia="en-US"/>
    </w:rPr>
  </w:style>
  <w:style w:type="character" w:styleId="641">
    <w:name w:val="Основной текст Знак"/>
    <w:basedOn w:val="634"/>
    <w:qFormat/>
    <w:rPr>
      <w:rFonts w:ascii="Times New Roman" w:hAnsi="Times New Roman" w:eastAsia="Times New Roman"/>
      <w:color w:val="000000"/>
      <w:sz w:val="24"/>
      <w:lang w:eastAsia="ar-SA"/>
    </w:rPr>
  </w:style>
  <w:style w:type="character" w:styleId="642">
    <w:name w:val="Текст сноски Знак"/>
    <w:basedOn w:val="634"/>
    <w:qFormat/>
    <w:rPr>
      <w:lang w:eastAsia="en-US"/>
    </w:rPr>
  </w:style>
  <w:style w:type="character" w:styleId="643">
    <w:name w:val="Привязка сноски"/>
    <w:rPr>
      <w:vertAlign w:val="superscript"/>
    </w:rPr>
  </w:style>
  <w:style w:type="character" w:styleId="644">
    <w:name w:val="Footnote Characters"/>
    <w:basedOn w:val="634"/>
    <w:qFormat/>
    <w:rPr>
      <w:vertAlign w:val="superscript"/>
    </w:rPr>
  </w:style>
  <w:style w:type="character" w:styleId="645">
    <w:name w:val="ConsPlusNormal Знак"/>
    <w:qFormat/>
    <w:rPr>
      <w:rFonts w:ascii="Arial" w:hAnsi="Arial" w:eastAsia="Times New Roman" w:cs="Arial"/>
    </w:rPr>
  </w:style>
  <w:style w:type="character" w:styleId="646">
    <w:name w:val="Интернет-ссылка"/>
    <w:rPr>
      <w:color w:val="000080"/>
      <w:u w:val="single"/>
    </w:rPr>
  </w:style>
  <w:style w:type="character" w:styleId="647">
    <w:name w:val="extended-text__short"/>
    <w:basedOn w:val="634"/>
    <w:qFormat/>
  </w:style>
  <w:style w:type="character" w:styleId="648">
    <w:name w:val="Основной текст (2) + 7;5 pt"/>
    <w:basedOn w:val="634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5"/>
      <w:szCs w:val="15"/>
      <w:u w:val="none"/>
      <w:lang w:val="ru-RU" w:eastAsia="ru-RU" w:bidi="ru-RU"/>
    </w:rPr>
  </w:style>
  <w:style w:type="character" w:styleId="649">
    <w:name w:val="Маркеры списка"/>
    <w:qFormat/>
    <w:rPr>
      <w:rFonts w:ascii="OpenSymbol" w:hAnsi="OpenSymbol" w:eastAsia="OpenSymbol" w:cs="OpenSymbol"/>
    </w:rPr>
  </w:style>
  <w:style w:type="character" w:styleId="650">
    <w:name w:val="Основной шрифт абзаца"/>
    <w:qFormat/>
  </w:style>
  <w:style w:type="character" w:styleId="651">
    <w:name w:val="highlightcolor"/>
    <w:basedOn w:val="634"/>
    <w:qFormat/>
  </w:style>
  <w:style w:type="character" w:styleId="652">
    <w:name w:val="Выделение жирным"/>
    <w:qFormat/>
    <w:rPr>
      <w:b/>
      <w:bCs/>
    </w:rPr>
  </w:style>
  <w:style w:type="paragraph" w:styleId="653">
    <w:name w:val="Заголовок"/>
    <w:basedOn w:val="631"/>
    <w:next w:val="654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54">
    <w:name w:val="Body Text"/>
    <w:basedOn w:val="631"/>
    <w:pPr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paragraph" w:styleId="655">
    <w:name w:val="List"/>
    <w:basedOn w:val="654"/>
    <w:rPr>
      <w:rFonts w:cs="Droid Sans Devanagari"/>
    </w:rPr>
  </w:style>
  <w:style w:type="paragraph" w:styleId="656">
    <w:name w:val="Caption"/>
    <w:basedOn w:val="63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57">
    <w:name w:val="Указатель"/>
    <w:basedOn w:val="631"/>
    <w:qFormat/>
    <w:pPr>
      <w:suppressLineNumbers/>
    </w:pPr>
    <w:rPr>
      <w:rFonts w:cs="Droid Sans Devanagari"/>
    </w:rPr>
  </w:style>
  <w:style w:type="paragraph" w:styleId="658">
    <w:name w:val="Balloon Text"/>
    <w:basedOn w:val="631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59">
    <w:name w:val="annotation text"/>
    <w:basedOn w:val="631"/>
    <w:qFormat/>
    <w:rPr>
      <w:sz w:val="20"/>
      <w:szCs w:val="20"/>
    </w:rPr>
  </w:style>
  <w:style w:type="paragraph" w:styleId="660">
    <w:name w:val="annotation subject"/>
    <w:basedOn w:val="659"/>
    <w:next w:val="659"/>
    <w:qFormat/>
    <w:rPr>
      <w:b/>
      <w:bCs/>
    </w:rPr>
  </w:style>
  <w:style w:type="paragraph" w:styleId="661">
    <w:name w:val="ConsPlusNormal"/>
    <w:qFormat/>
    <w:pPr>
      <w:widowControl/>
      <w:spacing w:before="0" w:after="0"/>
      <w:jc w:val="left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662">
    <w:name w:val="Обычный + по ширине"/>
    <w:basedOn w:val="631"/>
    <w:qFormat/>
    <w:pPr>
      <w:spacing w:before="0"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3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664">
    <w:name w:val="ConsPlusCel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665">
    <w:name w:val="Верхний и нижний колонтитулы"/>
    <w:basedOn w:val="631"/>
    <w:qFormat/>
  </w:style>
  <w:style w:type="paragraph" w:styleId="666">
    <w:name w:val="Header"/>
    <w:basedOn w:val="631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67">
    <w:name w:val="Footer"/>
    <w:basedOn w:val="631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68">
    <w:name w:val="List Paragraph"/>
    <w:basedOn w:val="631"/>
    <w:qFormat/>
    <w:pPr>
      <w:spacing w:before="0" w:after="200"/>
      <w:ind w:left="720" w:right="0" w:firstLine="0"/>
      <w:contextualSpacing/>
    </w:pPr>
  </w:style>
  <w:style w:type="paragraph" w:styleId="669">
    <w:name w:val="Revision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70">
    <w:name w:val="footnote text"/>
    <w:basedOn w:val="631"/>
    <w:pPr>
      <w:spacing w:before="0" w:after="0" w:line="240" w:lineRule="auto"/>
    </w:pPr>
    <w:rPr>
      <w:sz w:val="20"/>
      <w:szCs w:val="20"/>
    </w:rPr>
  </w:style>
  <w:style w:type="paragraph" w:styleId="671">
    <w:name w:val="Содержимое таблицы"/>
    <w:basedOn w:val="631"/>
    <w:qFormat/>
    <w:pPr>
      <w:suppressLineNumbers/>
    </w:pPr>
  </w:style>
  <w:style w:type="paragraph" w:styleId="672">
    <w:name w:val="Normal (Web)"/>
    <w:basedOn w:val="631"/>
    <w:qFormat/>
    <w:pPr>
      <w:spacing w:before="0" w:after="0" w:line="240" w:lineRule="auto"/>
      <w:ind w:left="0" w:right="0"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673">
    <w:name w:val="Заголовок таблицы"/>
    <w:basedOn w:val="671"/>
    <w:qFormat/>
    <w:pPr>
      <w:suppressLineNumbers/>
      <w:jc w:val="center"/>
    </w:pPr>
    <w:rPr>
      <w:b/>
      <w:bCs/>
    </w:rPr>
  </w:style>
  <w:style w:type="paragraph" w:styleId="674">
    <w:name w:val="Основной текст (3)"/>
    <w:basedOn w:val="631"/>
    <w:qFormat/>
    <w:pPr>
      <w:widowControl w:val="off"/>
      <w:shd w:val="clear" w:color="auto" w:fill="ffffff"/>
      <w:spacing w:before="0" w:after="0" w:line="259" w:lineRule="exact"/>
      <w:jc w:val="center"/>
    </w:pPr>
    <w:rPr>
      <w:rFonts w:ascii="Times New Roman" w:hAnsi="Times New Roman" w:eastAsia="Times New Roman" w:cs="Times New Roman"/>
      <w:b/>
      <w:bCs/>
    </w:rPr>
  </w:style>
  <w:style w:type="paragraph" w:styleId="675">
    <w:name w:val="Список 2"/>
    <w:basedOn w:val="631"/>
    <w:qFormat/>
    <w:pPr>
      <w:spacing w:before="0" w:after="60" w:line="240" w:lineRule="auto"/>
      <w:ind w:left="566" w:right="0" w:hanging="283"/>
      <w:contextualSpacing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676">
    <w:name w:val="No Spacing"/>
    <w:qFormat/>
    <w:pPr>
      <w:widowControl/>
      <w:spacing w:before="0" w:after="0" w:line="240" w:lineRule="auto"/>
      <w:jc w:val="left"/>
    </w:pPr>
    <w:rPr>
      <w:rFonts w:ascii="Calibri" w:hAnsi="Calibri" w:eastAsia="Times New Roman" w:cs="Times New Roman"/>
      <w:color w:val="00000a"/>
      <w:sz w:val="24"/>
      <w:szCs w:val="24"/>
      <w:lang w:val="ru-RU" w:eastAsia="zh-CN" w:bidi="ar-SA"/>
    </w:rPr>
  </w:style>
  <w:style w:type="paragraph" w:styleId="677">
    <w:name w:val="Standard"/>
    <w:qFormat/>
    <w:pPr>
      <w:keepNext w:val="0"/>
      <w:keepLines w:val="0"/>
      <w:pageBreakBefore w:val="0"/>
      <w:widowControl/>
      <w:spacing w:before="0" w:after="0" w:line="240" w:lineRule="auto"/>
      <w:ind w:left="0" w:right="0" w:firstLine="0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en-US" w:bidi="ar-SA"/>
    </w:rPr>
  </w:style>
  <w:style w:type="numbering" w:styleId="678" w:default="1">
    <w:name w:val="No List"/>
    <w:qFormat/>
  </w:style>
  <w:style w:type="table" w:styleId="21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mtsr.nso.ru/page/1293" TargetMode="External"/><Relationship Id="rId10" Type="http://schemas.openxmlformats.org/officeDocument/2006/relationships/hyperlink" Target="https://login.consultant.ru/link/?req=doc&amp;base=RLAW049&amp;n=164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4023.00.09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и соцразвития Новосибирской области от 29.03.2023 N 371-НПА(ред. от 28.07.2023)"Об утверждении Плана реализации мероприятий государственной программы Новосибирской области на очередной 2023 год"</dc:title>
  <dc:subject/>
  <dc:creator>Жигулина Лариса Александровна</dc:creator>
  <dc:description/>
  <dc:language>ru-RU</dc:language>
  <cp:revision>82</cp:revision>
  <dcterms:created xsi:type="dcterms:W3CDTF">2023-09-12T11:13:00Z</dcterms:created>
  <dcterms:modified xsi:type="dcterms:W3CDTF">2025-08-15T09:08:39Z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