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jc w:val="center"/>
        <w:rPr>
          <w:rFonts w:ascii="TimesNewRoman" w:hAnsi="TimesNewRoman" w:eastAsia="TimesNewRoman" w:cs="TimesNewRoman"/>
          <w:sz w:val="28"/>
        </w:rPr>
      </w:pPr>
      <w:r/>
      <w:bookmarkStart w:id="0" w:name="_GoBack"/>
      <w:r/>
      <w:bookmarkEnd w:id="0"/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907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907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Информация о реализации министерством труда и социального развития Новосибирской области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907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мероприятий программы </w:t>
      </w:r>
      <w:r>
        <w:rPr>
          <w:rFonts w:ascii="TimesNewRoman" w:hAnsi="TimesNewRoman" w:eastAsia="TimesNewRoman" w:cs="TimesNewRoman"/>
          <w:sz w:val="28"/>
        </w:rPr>
        <w:t xml:space="preserve">«</w:t>
      </w:r>
      <w:r>
        <w:rPr>
          <w:rFonts w:ascii="TimesNewRoman" w:hAnsi="TimesNewRoman" w:eastAsia="TimesNewRoman" w:cs="TimesNewRoman"/>
          <w:sz w:val="28"/>
        </w:rPr>
        <w:t xml:space="preserve">Антикоррупционное просвещение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907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в Новосибирской области на 2025 - 2027 годы</w:t>
      </w:r>
      <w:r>
        <w:rPr>
          <w:rFonts w:ascii="TimesNewRoman" w:hAnsi="TimesNewRoman" w:eastAsia="TimesNewRoman" w:cs="TimesNewRoman"/>
          <w:sz w:val="28"/>
        </w:rPr>
        <w:t xml:space="preserve">»</w:t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p>
      <w:pPr>
        <w:pStyle w:val="907"/>
        <w:ind w:firstLine="540"/>
        <w:jc w:val="both"/>
        <w:rPr>
          <w:rFonts w:ascii="TimesNewRoman" w:hAnsi="TimesNewRoman" w:eastAsia="TimesNewRoman" w:cs="TimesNewRoman"/>
          <w:sz w:val="28"/>
        </w:rPr>
        <w:outlineLvl w:val="0"/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</w:p>
    <w:tbl>
      <w:tblPr>
        <w:tblW w:w="0" w:type="auto"/>
        <w:tblInd w:w="-38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5"/>
        <w:gridCol w:w="5788"/>
        <w:gridCol w:w="807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pStyle w:val="907"/>
              <w:jc w:val="center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№ п/п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8" w:type="dxa"/>
            <w:textDirection w:val="lrTb"/>
            <w:noWrap w:val="false"/>
          </w:tcPr>
          <w:p>
            <w:pPr>
              <w:pStyle w:val="907"/>
              <w:jc w:val="center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Наименование мероприятия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pStyle w:val="907"/>
              <w:jc w:val="center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Результат выполнения мероприятия  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textDirection w:val="lrTb"/>
            <w:noWrap w:val="false"/>
          </w:tcPr>
          <w:p>
            <w:pPr>
              <w:pStyle w:val="907"/>
              <w:jc w:val="center"/>
              <w:rPr>
                <w:rFonts w:ascii="TimesNewRoman" w:hAnsi="TimesNewRoman" w:eastAsia="TimesNewRoman" w:cs="TimesNewRoman"/>
                <w:sz w:val="28"/>
              </w:rPr>
              <w:outlineLvl w:val="0"/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1. Мероприятия, направленные на повышения уровня правосознания и правовой грамотности в сфере противодействия коррупции лиц, замещающих государственные должности Новосибирской области, муниципальные должности, должности государственной гражданской службы Н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овосибирской области, муниципальной службы, работников государственных учреждений (организаций) Новосибирской области, а также граждан, претендующих на замещение указанных должностей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1.1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8" w:type="dxa"/>
            <w:vMerge w:val="restart"/>
            <w:textDirection w:val="lrTb"/>
            <w:noWrap w:val="false"/>
          </w:tcPr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Подготовка и распространение методических, информационных и разъяснительных материалов об антикоррупционных стандартах поведения для лиц, замещающих государственные должности Новосибирской области, должности государственной гражданской службы Новосибирской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 области, работников государственных учреждений (организаций), а также граждан, претендующих на замещение указанных должностей: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1) актуализация действующих и разработка новых методических и информационно-разъяснительных материалов;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2) тиражирование методич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еских, информационных и разъяснительных материалов, подготовленных в ОИО НСО;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3) рассмотрение правоприменительной практики, обзоров и разъяснений по коррупционным вопросам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В целях соблюдения требований законодательства о противодействии коррупции в министерстве 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труда и социального развития Новосибирской области (далее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 – 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министерство)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организована работа по ознакомлению при приеме на государственную гражданскую службу с нормативными правовыми актами, памятками, методиче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скими рекомендациями по вопросам противодействия коррупции.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both"/>
              <w:spacing w:line="235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Раздел, посвященный противодействию коррупции, также включен в состав памятки «Путь новичка» – методического материала, подготовленного для адаптации сотрудников, принятых  в министерство.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pacing w:after="0"/>
              <w:rPr>
                <w:rFonts w:ascii="Arial" w:hAnsi="Arial" w:eastAsia="Arial" w:cs="Arial"/>
                <w:sz w:val="24"/>
                <w:highlight w:val="cyan"/>
              </w:rPr>
            </w:pPr>
            <w:r>
              <w:rPr>
                <w:rFonts w:ascii="Arial" w:hAnsi="Arial" w:eastAsia="Arial" w:cs="Arial"/>
                <w:sz w:val="24"/>
                <w:highlight w:val="cyan"/>
              </w:rPr>
            </w:r>
            <w:r>
              <w:rPr>
                <w:rFonts w:ascii="Arial" w:hAnsi="Arial" w:eastAsia="Arial" w:cs="Arial"/>
                <w:sz w:val="24"/>
                <w:highlight w:val="cyan"/>
              </w:rPr>
            </w:r>
            <w:r>
              <w:rPr>
                <w:rFonts w:ascii="Arial" w:hAnsi="Arial" w:eastAsia="Arial" w:cs="Arial"/>
                <w:sz w:val="24"/>
                <w:highlight w:val="cyan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1.2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8" w:type="dxa"/>
            <w:vMerge w:val="restart"/>
            <w:textDirection w:val="lrTb"/>
            <w:noWrap w:val="false"/>
          </w:tcPr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Организация и проведение мероприятий по вопросам противодействия коррупции (совещаний, семинаров-практикумов, тренингов и в других формах), в том числе посредством видео-конференц-связи: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1) с лицами, замещающими должности государственной гражданской службы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 Новосибирской области в ОИО НСО, участвующими в реализации контрольно-надзорных функций;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2) с руководителями и должностными лицами государственных учреждений (организаций), ответственными за профилактику коррупционных и иных правонарушений, находящихся в 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ведении ОИО НСО, с участием специалистов ОПК НСО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Merge w:val="restart"/>
            <w:textDirection w:val="lrTb"/>
            <w:noWrap w:val="false"/>
          </w:tcPr>
          <w:p>
            <w:pPr>
              <w:ind w:left="33"/>
              <w:jc w:val="both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министерстве проводятся совещания, на которых рассматриваются вопросы противодействия коррупции.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33"/>
              <w:jc w:val="both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 связи с проведением декларационной кампании 2025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проводились обучающие мероприятия по вопросам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исполнения обязанности по представлению сведений о доходах, расходах, об имуществе и обязательствах имущественного характера за 2024 год 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NewRoman" w:hAnsi="TimesNewRoman" w:eastAsia="TimesNewRoman" w:cs="TimesNewRoman"/>
                <w:sz w:val="28"/>
                <w:highlight w:val="white"/>
              </w:rPr>
              <w:t xml:space="preserve">лицами, замещающими должности государственной гражданской службы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связанными с коррупционными рисками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в том числе с контрольно-надзорными функциями, и лицами, замещающими должности руководителей учреждений, подведомственных министерству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33"/>
              <w:jc w:val="both"/>
              <w:spacing w:after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рамках выездных мероприятий министерством в первом полугодии 2025 года 19 подведомственным министерству уч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реждениям оказана методическая помощь по вопросам противодействия коррупции, соблюдения требований Федерального закона от 25.12.2008 № 273-ФЗ «О противодействии коррупции» (по разработке и принятию мер по предупреждению коррупции в учреждениях). </w:t>
            </w:r>
            <w:r/>
          </w:p>
          <w:p>
            <w:pPr>
              <w:ind w:left="33"/>
              <w:jc w:val="both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after="0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1.3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8" w:type="dxa"/>
            <w:vMerge w:val="restart"/>
            <w:textDirection w:val="lrTb"/>
            <w:noWrap w:val="false"/>
          </w:tcPr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Подготовка методических материалов, проведение разъяснительных мероприятий по вопросам ограничений (требований) на трудоустройство после увольнения с государственной гражданской службы Новосибирской области с лицами, замещающими должности государственной г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ражданской службы Новосибирской области, планирующими увольнение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35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При увольнении с государственной гражданской службы, в соответствии с приказом министерства от 27.07.2020 № 667 «О мерах по реализации отдельных положений Федерального закона «О противодействии коррупции», кадровым подразделением министерства обеспечиваетс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я доведение до сведения государственных гражданских служащих, замещающих должности, включенные в перечень должностей государственной гражданской службы министерства, при замещении которых государственные гражданские служащие обязаны представлять сведения 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доходах, об имуществе и обязательствах имущественного характера, условий, влекущих распространение на гражданина обязанности получения согласия комиссии по соблюдению требований к служебному поведению и урегулированию конфликта интересов министерства, и 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орядка направления гражданином обращения о даче согласия на трудоустройство.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2. Мероприятия антикоррупционного просвещения населения Новосибирской области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  <w:p>
            <w:pPr>
              <w:jc w:val="center"/>
              <w:spacing w:after="0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  <w:r>
              <w:rPr>
                <w:rFonts w:ascii="Arial" w:hAnsi="Arial" w:eastAsia="Arial" w:cs="Arial"/>
                <w:sz w:val="24"/>
              </w:rPr>
            </w:r>
          </w:p>
        </w:tc>
      </w:tr>
      <w:tr>
        <w:tblPrEx/>
        <w:trPr>
          <w:trHeight w:val="35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2.1 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8" w:type="dxa"/>
            <w:vMerge w:val="restart"/>
            <w:textDirection w:val="lrTb"/>
            <w:noWrap w:val="false"/>
          </w:tcPr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Информирование населения о положениях законодательства о противодействии коррупции, в том числе, об ответственности за совершение коррупционных правонарушений, о мерах, принимаемых в сфере противодействия коррупции, путем: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1) размещения и актуализации соотв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етствующей информации на официальном сайте Губернатора Новосибирской области и Правительства Новосибирской области, официальных сайтах ОИО НСО в информационно-телекоммуникационной сети 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«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Интернет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;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2) использования средств наглядной информации (стендов, пла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катов, брошюр, памяток, трансляции видеоматериалов) в помещениях, занимаемых ОИО, в том числе, служебных помещениях руководителей ОИО НСО, их заместителей, сотрудников ОИО НСО, участвующих в оказании государственных услуг, в приеме граждан;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3) использовани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я средств наглядной информации (стендов, плакатов, брошюр, памяток, трансляции видеоматериалов) в общественных местах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Arial" w:hAnsi="Arial" w:eastAsia="Arial" w:cs="Arial"/>
                <w:sz w:val="28"/>
                <w:szCs w:val="2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а сайте министерства создан раздел «Противодействие коррупци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и», в котором содержатся нормативные правовые акты в сфере противодействия коррупции; методические материалы, разъяснения практики применения Федерального закона от 25.12.2008 № 273-ФЗ «О противодействии коррупции»; информация о проведенных заседаниях коми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ссии по соблюдению требований к служебному поведению государственных гражданских служащих и урегулированию конфликта интересов министерства.</w:t>
            </w:r>
            <w:r>
              <w:rPr>
                <w:rFonts w:ascii="Arial" w:hAnsi="Arial" w:eastAsia="Arial" w:cs="Arial"/>
                <w:sz w:val="28"/>
                <w:szCs w:val="28"/>
                <w:highlight w:val="whit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/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В разделе содержатся актуальные ссылки на официальные сайты правоохранительных органов, осуществляющих деятельность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 на территории Новосибирской области, на которых размещена информация о способах обращения к ним в целях сообщения о фактах коррупции (http://mtsr.nso.ru/page/1291);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/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В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 министерстве используются средства наглядной агитации в виде стендов, на которых разм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ещены информационные материалы с положениями законодательства о противодействии коррупции и ответственности за совершение коррупционных правонарушений. Стенды размещены на 1 этаже, в общественной приемной министерства. 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/>
              <w:rPr>
                <w:rFonts w:ascii="Arial" w:hAnsi="Arial" w:eastAsia="Arial" w:cs="Arial"/>
                <w:sz w:val="28"/>
                <w:szCs w:val="28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Во втором квартале 2025 года министерством разработана памятка, 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содержащая информаци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ю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 принятых в учреждениях стандартах антикоррупционного поведения работников, направленных на предотвращение коррупции при предоставлении гражданам мер государственной поддержки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white"/>
              </w:rPr>
              <w:t xml:space="preserve">. Памятки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highlight w:val="white"/>
              </w:rPr>
              <w:t xml:space="preserve"> размещены в общественной приемной министерства, а также направлены в 96 государственных учреждений, подведомственных министерству. </w:t>
            </w:r>
            <w:r>
              <w:rPr>
                <w:rFonts w:ascii="Arial" w:hAnsi="Arial" w:eastAsia="Arial" w:cs="Arial"/>
                <w:sz w:val="28"/>
                <w:szCs w:val="28"/>
                <w:highlight w:val="white"/>
              </w:rPr>
            </w:r>
            <w:r>
              <w:rPr>
                <w:rFonts w:ascii="Arial" w:hAnsi="Arial" w:eastAsia="Arial" w:cs="Arial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2.2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8" w:type="dxa"/>
            <w:vMerge w:val="restart"/>
            <w:textDirection w:val="lrTb"/>
            <w:noWrap w:val="false"/>
          </w:tcPr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Обеспечение информиров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а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ния государственными учреждениями (организациями) населения о положениях законодательства о противодействии коррупции, в том числе об ответственности за совершение коррупционных правонарушений, о мерах, принимаемых в сфере противодействия коррупции, путем: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1) размещения и актуализации соответствующей информации на официальных сайтах государственных учреждений (организаций) в информационно-телекоммуникационной сети 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«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Интернет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;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  <w:p>
            <w:pPr>
              <w:pStyle w:val="907"/>
              <w:jc w:val="both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2)  использования средств наглядной информации (стендов, плакатов, брошюр, памяток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, транслирование видеоматериалов) в помещениях, занимаемых государственными учреждениями (организациями), в том числе служебных помещениях руководителей и сотрудников государственных учреждений (организаций)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сайтах подведомственных министерству учреж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дений размещены: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Стандарты и процедуры, направленные на обеспечение добросовестной работы;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Антикоррупционная политика;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План противодействия коррупции в учреждении;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Кодекс этики и поведения работников (в зависимости от видов учреждений);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коррупционных рисков;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 конфликте интересов;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об информировании работниками работодателя о случаях склонения их к совершению коррупционных правонарушений и об информировании работниками работодателя о ставшей известной работнику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ормации о случаях совершения коррупционных правонарушений другими работниками, контрагентами, иными лицами;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Положение о сообщ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ении работниками учреждения о получении подарка в связи с официальными мероприятиями, участие в которых связано с исполнением ими должностных обязанностей, о сдаче и об оценке подарка, реализации (выкупе) и зачислении средств, вырученных от его реализации;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Положение о недопущении составления неофициальной отчетности и использования поддельных документов;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основные положения законодательства о противодействии коррупции, в том числе об ответственности за совершение коррупционных правонарушений;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приказ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назначении лица, ответственного за проведение работы по противодействию коррупции».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местах приема получателей государственных и социальных услуг размещены стенды антикоррупционной тематики.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служебных помещениях руководителей и сотрудников, оказываю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щих государственные и социальные услуги,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министерству учреждений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 размещены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азработанные министерством буклеты, содержащие информационные материалы, направленные на повышение уровня правовой грамотности населения и нетерпимого отношения к проявлениям коррупции.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сайтах подведомственных министерству учреждений содержатся актуаль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ссылки на официальные сайты правоохранительных органов, осуществляющих деятельность на территории Новосибирской области, на которых размещена информация о способах обращения к ним в целях сообщения о фактах коррупции.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Также учреждениями для информирова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ния используется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азработанная министерством памятка, содержащая информацию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принятых в учреждениях стандартах антикоррупционного поведения работников, направленных на предотвращение коррупции при предоставлении гражданам мер государственной поддержки.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6838" w:h="11906" w:orient="landscape"/>
      <w:pgMar w:top="851" w:right="1134" w:bottom="851" w:left="1134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02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02"/>
      <w:jc w:val="center"/>
      <w:rPr>
        <w:rFonts w:ascii="Times New Roman" w:hAnsi="Times New Roman" w:cs="Times New Roman"/>
        <w:highlight w:val="none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  <w:highlight w:val="none"/>
      </w:rPr>
    </w:r>
    <w:r>
      <w:rPr>
        <w:rFonts w:ascii="Times New Roman" w:hAnsi="Times New Roman" w:cs="Times New Roman"/>
        <w:highlight w:val="none"/>
      </w:rPr>
    </w:r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</w:pPr>
    <w:r/>
    <w:r/>
  </w:p>
  <w:p>
    <w:pPr>
      <w:pStyle w:val="90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qFormat/>
    <w:pPr>
      <w:spacing w:after="200"/>
    </w:pPr>
    <w:rPr>
      <w:sz w:val="22"/>
    </w:rPr>
  </w:style>
  <w:style w:type="paragraph" w:styleId="709">
    <w:name w:val="Heading 1"/>
    <w:basedOn w:val="70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70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1">
    <w:name w:val="Heading 3"/>
    <w:basedOn w:val="70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5">
    <w:name w:val="Heading 7"/>
    <w:basedOn w:val="70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6">
    <w:name w:val="Heading 8"/>
    <w:basedOn w:val="70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7">
    <w:name w:val="Heading 9"/>
    <w:basedOn w:val="70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table" w:styleId="72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Lined - Accent 2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Lined - Accent 3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Lined - Accent 4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Lined - Accent 5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Lined - Accent 6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 &amp; Lined - Accent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Bordered &amp; Lined - Accent 2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Bordered &amp; Lined - Accent 3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Bordered &amp; Lined - Accent 4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Bordered &amp; Lined - Accent 5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Bordered &amp; Lined - Accent 6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character" w:styleId="848">
    <w:name w:val="footnote reference"/>
    <w:basedOn w:val="718"/>
    <w:uiPriority w:val="99"/>
    <w:unhideWhenUsed/>
    <w:rPr>
      <w:vertAlign w:val="superscript"/>
    </w:rPr>
  </w:style>
  <w:style w:type="character" w:styleId="849">
    <w:name w:val="endnote reference"/>
    <w:basedOn w:val="718"/>
    <w:uiPriority w:val="99"/>
    <w:semiHidden/>
    <w:unhideWhenUsed/>
    <w:rPr>
      <w:vertAlign w:val="superscript"/>
    </w:rPr>
  </w:style>
  <w:style w:type="character" w:styleId="850" w:customStyle="1">
    <w:name w:val="Heading 1 Char"/>
    <w:basedOn w:val="718"/>
    <w:uiPriority w:val="9"/>
    <w:qFormat/>
    <w:rPr>
      <w:rFonts w:ascii="Arial" w:hAnsi="Arial" w:eastAsia="Arial" w:cs="Arial"/>
      <w:sz w:val="40"/>
      <w:szCs w:val="40"/>
    </w:rPr>
  </w:style>
  <w:style w:type="character" w:styleId="851" w:customStyle="1">
    <w:name w:val="Heading 2 Char"/>
    <w:basedOn w:val="718"/>
    <w:uiPriority w:val="9"/>
    <w:qFormat/>
    <w:rPr>
      <w:rFonts w:ascii="Arial" w:hAnsi="Arial" w:eastAsia="Arial" w:cs="Arial"/>
      <w:sz w:val="34"/>
    </w:rPr>
  </w:style>
  <w:style w:type="character" w:styleId="852" w:customStyle="1">
    <w:name w:val="Heading 3 Char"/>
    <w:basedOn w:val="718"/>
    <w:uiPriority w:val="9"/>
    <w:qFormat/>
    <w:rPr>
      <w:rFonts w:ascii="Arial" w:hAnsi="Arial" w:eastAsia="Arial" w:cs="Arial"/>
      <w:sz w:val="30"/>
      <w:szCs w:val="30"/>
    </w:rPr>
  </w:style>
  <w:style w:type="character" w:styleId="853" w:customStyle="1">
    <w:name w:val="Heading 4 Char"/>
    <w:basedOn w:val="71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4" w:customStyle="1">
    <w:name w:val="Heading 5 Char"/>
    <w:basedOn w:val="71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5" w:customStyle="1">
    <w:name w:val="Heading 6 Char"/>
    <w:basedOn w:val="71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6" w:customStyle="1">
    <w:name w:val="Heading 7 Char"/>
    <w:basedOn w:val="71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7" w:customStyle="1">
    <w:name w:val="Heading 8 Char"/>
    <w:basedOn w:val="71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8" w:customStyle="1">
    <w:name w:val="Heading 9 Char"/>
    <w:basedOn w:val="71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9" w:customStyle="1">
    <w:name w:val="Title Char"/>
    <w:basedOn w:val="718"/>
    <w:uiPriority w:val="10"/>
    <w:qFormat/>
    <w:rPr>
      <w:sz w:val="48"/>
      <w:szCs w:val="48"/>
    </w:rPr>
  </w:style>
  <w:style w:type="character" w:styleId="860" w:customStyle="1">
    <w:name w:val="Subtitle Char"/>
    <w:basedOn w:val="718"/>
    <w:uiPriority w:val="11"/>
    <w:qFormat/>
    <w:rPr>
      <w:sz w:val="24"/>
      <w:szCs w:val="24"/>
    </w:rPr>
  </w:style>
  <w:style w:type="character" w:styleId="861" w:customStyle="1">
    <w:name w:val="Quote Char"/>
    <w:uiPriority w:val="29"/>
    <w:qFormat/>
    <w:rPr>
      <w:i/>
    </w:rPr>
  </w:style>
  <w:style w:type="character" w:styleId="862" w:customStyle="1">
    <w:name w:val="Intense Quote Char"/>
    <w:uiPriority w:val="30"/>
    <w:qFormat/>
    <w:rPr>
      <w:i/>
    </w:rPr>
  </w:style>
  <w:style w:type="character" w:styleId="863" w:customStyle="1">
    <w:name w:val="Header Char"/>
    <w:basedOn w:val="718"/>
    <w:uiPriority w:val="99"/>
    <w:qFormat/>
  </w:style>
  <w:style w:type="character" w:styleId="864" w:customStyle="1">
    <w:name w:val="Footer Char"/>
    <w:basedOn w:val="718"/>
    <w:uiPriority w:val="99"/>
    <w:qFormat/>
  </w:style>
  <w:style w:type="character" w:styleId="865" w:customStyle="1">
    <w:name w:val="Caption Char"/>
    <w:uiPriority w:val="99"/>
    <w:qFormat/>
  </w:style>
  <w:style w:type="character" w:styleId="866" w:customStyle="1">
    <w:name w:val="Footnote Text Char"/>
    <w:uiPriority w:val="99"/>
    <w:qFormat/>
    <w:rPr>
      <w:sz w:val="18"/>
    </w:rPr>
  </w:style>
  <w:style w:type="character" w:styleId="867" w:customStyle="1">
    <w:name w:val="Привязка сноски"/>
    <w:rPr>
      <w:vertAlign w:val="superscript"/>
    </w:rPr>
  </w:style>
  <w:style w:type="character" w:styleId="868" w:customStyle="1">
    <w:name w:val="Footnote Characters"/>
    <w:uiPriority w:val="99"/>
    <w:unhideWhenUsed/>
    <w:qFormat/>
    <w:rPr>
      <w:vertAlign w:val="superscript"/>
    </w:rPr>
  </w:style>
  <w:style w:type="character" w:styleId="869" w:customStyle="1">
    <w:name w:val="Endnote Text Char"/>
    <w:uiPriority w:val="99"/>
    <w:qFormat/>
    <w:rPr>
      <w:sz w:val="20"/>
    </w:rPr>
  </w:style>
  <w:style w:type="character" w:styleId="870" w:customStyle="1">
    <w:name w:val="Привязка концевой сноски"/>
    <w:rPr>
      <w:vertAlign w:val="superscript"/>
    </w:rPr>
  </w:style>
  <w:style w:type="character" w:styleId="871" w:customStyle="1">
    <w:name w:val="Endnote Characters"/>
    <w:uiPriority w:val="99"/>
    <w:semiHidden/>
    <w:unhideWhenUsed/>
    <w:qFormat/>
    <w:rPr>
      <w:vertAlign w:val="superscript"/>
    </w:rPr>
  </w:style>
  <w:style w:type="character" w:styleId="872" w:customStyle="1">
    <w:name w:val="Верхний колонтитул Знак"/>
    <w:basedOn w:val="718"/>
    <w:uiPriority w:val="99"/>
    <w:semiHidden/>
    <w:qFormat/>
  </w:style>
  <w:style w:type="character" w:styleId="873" w:customStyle="1">
    <w:name w:val="Нижний колонтитул Знак"/>
    <w:basedOn w:val="718"/>
    <w:uiPriority w:val="99"/>
    <w:semiHidden/>
    <w:qFormat/>
  </w:style>
  <w:style w:type="character" w:styleId="874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875">
    <w:name w:val="Strong"/>
    <w:basedOn w:val="718"/>
    <w:uiPriority w:val="22"/>
    <w:qFormat/>
    <w:rPr>
      <w:b/>
      <w:bCs/>
    </w:rPr>
  </w:style>
  <w:style w:type="character" w:styleId="876" w:customStyle="1">
    <w:name w:val="Текст выноски Знак"/>
    <w:basedOn w:val="718"/>
    <w:uiPriority w:val="99"/>
    <w:semiHidden/>
    <w:qFormat/>
    <w:rPr>
      <w:rFonts w:ascii="Tahoma" w:hAnsi="Tahoma" w:cs="Tahoma"/>
      <w:sz w:val="16"/>
      <w:szCs w:val="16"/>
    </w:rPr>
  </w:style>
  <w:style w:type="paragraph" w:styleId="877" w:customStyle="1">
    <w:name w:val="Заголовок"/>
    <w:basedOn w:val="708"/>
    <w:next w:val="87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78">
    <w:name w:val="Body Text"/>
    <w:basedOn w:val="708"/>
    <w:pPr>
      <w:spacing w:after="140" w:line="276" w:lineRule="auto"/>
    </w:pPr>
  </w:style>
  <w:style w:type="paragraph" w:styleId="879">
    <w:name w:val="List"/>
    <w:basedOn w:val="878"/>
    <w:rPr>
      <w:rFonts w:cs="Droid Sans Devanagari"/>
    </w:rPr>
  </w:style>
  <w:style w:type="paragraph" w:styleId="880">
    <w:name w:val="Caption"/>
    <w:basedOn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81">
    <w:name w:val="index heading"/>
    <w:basedOn w:val="708"/>
    <w:qFormat/>
    <w:pPr>
      <w:suppressLineNumbers/>
    </w:pPr>
    <w:rPr>
      <w:rFonts w:cs="Droid Sans Devanagari"/>
    </w:rPr>
  </w:style>
  <w:style w:type="paragraph" w:styleId="882">
    <w:name w:val="List Paragraph"/>
    <w:basedOn w:val="708"/>
    <w:uiPriority w:val="34"/>
    <w:qFormat/>
    <w:pPr>
      <w:contextualSpacing/>
      <w:ind w:left="720"/>
    </w:pPr>
  </w:style>
  <w:style w:type="paragraph" w:styleId="883">
    <w:name w:val="No Spacing"/>
    <w:uiPriority w:val="1"/>
    <w:qFormat/>
    <w:rPr>
      <w:sz w:val="22"/>
    </w:rPr>
  </w:style>
  <w:style w:type="paragraph" w:styleId="884">
    <w:name w:val="Title"/>
    <w:basedOn w:val="708"/>
    <w:uiPriority w:val="10"/>
    <w:qFormat/>
    <w:pPr>
      <w:contextualSpacing/>
      <w:spacing w:before="300"/>
    </w:pPr>
    <w:rPr>
      <w:sz w:val="48"/>
      <w:szCs w:val="48"/>
    </w:rPr>
  </w:style>
  <w:style w:type="paragraph" w:styleId="885">
    <w:name w:val="Subtitle"/>
    <w:basedOn w:val="708"/>
    <w:uiPriority w:val="11"/>
    <w:qFormat/>
    <w:pPr>
      <w:spacing w:before="200"/>
    </w:pPr>
    <w:rPr>
      <w:sz w:val="24"/>
      <w:szCs w:val="24"/>
    </w:rPr>
  </w:style>
  <w:style w:type="paragraph" w:styleId="886">
    <w:name w:val="Quote"/>
    <w:basedOn w:val="708"/>
    <w:uiPriority w:val="29"/>
    <w:qFormat/>
    <w:pPr>
      <w:ind w:left="720" w:right="720"/>
    </w:pPr>
    <w:rPr>
      <w:i/>
    </w:rPr>
  </w:style>
  <w:style w:type="paragraph" w:styleId="887">
    <w:name w:val="Intense Quote"/>
    <w:basedOn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88">
    <w:name w:val="footnote text"/>
    <w:basedOn w:val="708"/>
    <w:uiPriority w:val="99"/>
    <w:semiHidden/>
    <w:unhideWhenUsed/>
    <w:pPr>
      <w:spacing w:after="40"/>
    </w:pPr>
    <w:rPr>
      <w:sz w:val="18"/>
    </w:rPr>
  </w:style>
  <w:style w:type="paragraph" w:styleId="889">
    <w:name w:val="endnote text"/>
    <w:basedOn w:val="708"/>
    <w:uiPriority w:val="99"/>
    <w:semiHidden/>
    <w:unhideWhenUsed/>
    <w:pPr>
      <w:spacing w:after="0"/>
    </w:pPr>
    <w:rPr>
      <w:sz w:val="20"/>
    </w:rPr>
  </w:style>
  <w:style w:type="paragraph" w:styleId="890">
    <w:name w:val="toc 1"/>
    <w:basedOn w:val="708"/>
    <w:uiPriority w:val="39"/>
    <w:unhideWhenUsed/>
    <w:pPr>
      <w:spacing w:after="57"/>
    </w:pPr>
  </w:style>
  <w:style w:type="paragraph" w:styleId="891">
    <w:name w:val="toc 2"/>
    <w:basedOn w:val="708"/>
    <w:uiPriority w:val="39"/>
    <w:unhideWhenUsed/>
    <w:pPr>
      <w:ind w:left="283"/>
      <w:spacing w:after="57"/>
    </w:pPr>
  </w:style>
  <w:style w:type="paragraph" w:styleId="892">
    <w:name w:val="toc 3"/>
    <w:basedOn w:val="708"/>
    <w:uiPriority w:val="39"/>
    <w:unhideWhenUsed/>
    <w:pPr>
      <w:ind w:left="567"/>
      <w:spacing w:after="57"/>
    </w:pPr>
  </w:style>
  <w:style w:type="paragraph" w:styleId="893">
    <w:name w:val="toc 4"/>
    <w:basedOn w:val="708"/>
    <w:uiPriority w:val="39"/>
    <w:unhideWhenUsed/>
    <w:pPr>
      <w:ind w:left="850"/>
      <w:spacing w:after="57"/>
    </w:pPr>
  </w:style>
  <w:style w:type="paragraph" w:styleId="894">
    <w:name w:val="toc 5"/>
    <w:basedOn w:val="708"/>
    <w:uiPriority w:val="39"/>
    <w:unhideWhenUsed/>
    <w:pPr>
      <w:ind w:left="1134"/>
      <w:spacing w:after="57"/>
    </w:pPr>
  </w:style>
  <w:style w:type="paragraph" w:styleId="895">
    <w:name w:val="toc 6"/>
    <w:basedOn w:val="708"/>
    <w:uiPriority w:val="39"/>
    <w:unhideWhenUsed/>
    <w:pPr>
      <w:ind w:left="1417"/>
      <w:spacing w:after="57"/>
    </w:pPr>
  </w:style>
  <w:style w:type="paragraph" w:styleId="896">
    <w:name w:val="toc 7"/>
    <w:basedOn w:val="708"/>
    <w:uiPriority w:val="39"/>
    <w:unhideWhenUsed/>
    <w:pPr>
      <w:ind w:left="1701"/>
      <w:spacing w:after="57"/>
    </w:pPr>
  </w:style>
  <w:style w:type="paragraph" w:styleId="897">
    <w:name w:val="toc 8"/>
    <w:basedOn w:val="708"/>
    <w:uiPriority w:val="39"/>
    <w:unhideWhenUsed/>
    <w:pPr>
      <w:ind w:left="1984"/>
      <w:spacing w:after="57"/>
    </w:pPr>
  </w:style>
  <w:style w:type="paragraph" w:styleId="898">
    <w:name w:val="toc 9"/>
    <w:basedOn w:val="708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qFormat/>
    <w:pPr>
      <w:spacing w:after="200" w:line="276" w:lineRule="auto"/>
    </w:pPr>
    <w:rPr>
      <w:sz w:val="22"/>
    </w:rPr>
  </w:style>
  <w:style w:type="paragraph" w:styleId="900">
    <w:name w:val="table of figures"/>
    <w:basedOn w:val="708"/>
    <w:uiPriority w:val="99"/>
    <w:unhideWhenUsed/>
    <w:qFormat/>
    <w:pPr>
      <w:spacing w:after="0"/>
    </w:pPr>
  </w:style>
  <w:style w:type="paragraph" w:styleId="901" w:customStyle="1">
    <w:name w:val="Верхний и нижний колонтитулы"/>
    <w:basedOn w:val="708"/>
    <w:qFormat/>
  </w:style>
  <w:style w:type="paragraph" w:styleId="902">
    <w:name w:val="Header"/>
    <w:basedOn w:val="708"/>
    <w:uiPriority w:val="99"/>
    <w:semiHidden/>
    <w:unhideWhenUsed/>
    <w:pPr>
      <w:spacing w:after="0"/>
      <w:tabs>
        <w:tab w:val="center" w:pos="4677" w:leader="none"/>
        <w:tab w:val="right" w:pos="9355" w:leader="none"/>
      </w:tabs>
    </w:pPr>
  </w:style>
  <w:style w:type="paragraph" w:styleId="903">
    <w:name w:val="Footer"/>
    <w:basedOn w:val="708"/>
    <w:uiPriority w:val="99"/>
    <w:semiHidden/>
    <w:unhideWhenUsed/>
    <w:pPr>
      <w:spacing w:after="0"/>
      <w:tabs>
        <w:tab w:val="center" w:pos="4677" w:leader="none"/>
        <w:tab w:val="right" w:pos="9355" w:leader="none"/>
      </w:tabs>
    </w:pPr>
  </w:style>
  <w:style w:type="paragraph" w:styleId="904">
    <w:name w:val="Balloon Text"/>
    <w:basedOn w:val="708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905" w:customStyle="1">
    <w:name w:val="Содержимое таблицы"/>
    <w:basedOn w:val="708"/>
    <w:qFormat/>
    <w:pPr>
      <w:suppressLineNumbers/>
    </w:pPr>
  </w:style>
  <w:style w:type="paragraph" w:styleId="906" w:customStyle="1">
    <w:name w:val="Заголовок таблицы"/>
    <w:basedOn w:val="905"/>
    <w:qFormat/>
    <w:pPr>
      <w:jc w:val="center"/>
    </w:pPr>
    <w:rPr>
      <w:b/>
      <w:bCs/>
    </w:rPr>
  </w:style>
  <w:style w:type="paragraph" w:styleId="90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07BED-8D15-4A24-AA0D-8BF44021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dc:description/>
  <dc:language>ru-RU</dc:language>
  <cp:revision>11</cp:revision>
  <dcterms:created xsi:type="dcterms:W3CDTF">2025-07-16T10:59:00Z</dcterms:created>
  <dcterms:modified xsi:type="dcterms:W3CDTF">2025-08-15T08:58:21Z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