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_rels/document.xml.rels" ContentType="application/vnd.openxmlformats-package.relationship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_rels/.rels" ContentType="application/vnd.openxmlformats-package.relationship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ConsPlusNormal1"/>
        <w:ind w:left="0" w:right="0" w:firstLine="54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Приложение</w:t>
      </w:r>
    </w:p>
    <w:p>
      <w:pPr>
        <w:pStyle w:val="ConsPlusNormal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  <w:bookmarkStart w:id="0" w:name="P130"/>
      <w:bookmarkStart w:id="1" w:name="P130"/>
      <w:bookmarkEnd w:id="1"/>
    </w:p>
    <w:p>
      <w:pPr>
        <w:pStyle w:val="ConsPlusNormal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ИНФОРМАЦИЯ </w:t>
      </w:r>
    </w:p>
    <w:p>
      <w:pPr>
        <w:pStyle w:val="ConsPlusNormal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 xml:space="preserve">о реализации мероприятий программы </w:t>
      </w:r>
    </w:p>
    <w:p>
      <w:pPr>
        <w:pStyle w:val="ConsPlusNormal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«Противодействие коррупции в Новосибирской области на 2021-2024 годы» в 2024 году</w:t>
      </w:r>
    </w:p>
    <w:p>
      <w:pPr>
        <w:pStyle w:val="ConsPlusNormal1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ConsPlusNormal1"/>
        <w:jc w:val="center"/>
        <w:rPr>
          <w:rFonts w:ascii="Times New Roman" w:hAnsi="Times New Roman" w:cs="Times New Roman"/>
          <w:b/>
          <w:b/>
          <w:sz w:val="28"/>
          <w:szCs w:val="28"/>
          <w:u w:val="single"/>
        </w:rPr>
      </w:pPr>
      <w:r>
        <w:rPr>
          <w:rFonts w:cs="Times New Roman" w:ascii="Times New Roman" w:hAnsi="Times New Roman"/>
          <w:b/>
          <w:sz w:val="28"/>
          <w:szCs w:val="28"/>
          <w:u w:val="single"/>
        </w:rPr>
        <w:t xml:space="preserve">министерство труда и социального развития Новосибирской области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sz w:val="20"/>
        </w:rPr>
        <w:t xml:space="preserve">наименование областного </w:t>
      </w:r>
      <w:bookmarkStart w:id="2" w:name="_GoBack"/>
      <w:bookmarkEnd w:id="2"/>
      <w:r>
        <w:rPr>
          <w:rFonts w:cs="Times New Roman" w:ascii="Times New Roman" w:hAnsi="Times New Roman"/>
          <w:sz w:val="20"/>
        </w:rPr>
        <w:t xml:space="preserve">исполнительного органа Новосибирской области 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0"/>
        </w:rPr>
        <w:t>(</w:t>
      </w:r>
      <w:r>
        <w:rPr>
          <w:rFonts w:eastAsia="Times New Roman" w:cs="Times New Roman" w:ascii="Times New Roman" w:hAnsi="Times New Roman"/>
          <w:sz w:val="20"/>
          <w:szCs w:val="20"/>
          <w:lang w:eastAsia="ru-RU"/>
        </w:rPr>
        <w:t>структурного подразделения администрации Губернатора Новосибирской области и Правительства Новосибирской области</w:t>
      </w:r>
      <w:r>
        <w:rPr>
          <w:rFonts w:cs="Times New Roman" w:ascii="Times New Roman" w:hAnsi="Times New Roman"/>
          <w:b/>
          <w:sz w:val="20"/>
          <w:szCs w:val="20"/>
        </w:rPr>
        <w:t>)</w:t>
      </w:r>
    </w:p>
    <w:p>
      <w:pPr>
        <w:pStyle w:val="ConsPlusNormal1"/>
        <w:ind w:left="0" w:right="0"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tbl>
      <w:tblPr>
        <w:tblW w:w="15195" w:type="dxa"/>
        <w:jc w:val="left"/>
        <w:tblInd w:w="-85" w:type="dxa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0"/>
        <w:gridCol w:w="6520"/>
        <w:gridCol w:w="6975"/>
      </w:tblGrid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№ 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п/п</w:t>
            </w:r>
          </w:p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мероприятия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Информация об исполнении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1.4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Подготовка и принятие нормативных правовых актов ОИОГВ НСО, администрации в сфере противодействия коррупции, признание утратившими силу таких актов в целях обеспечения исполнения нормативных правовых актов Российской Федерации, направленных на совершенствование организационных основ противодействия коррупции в субъектах Российской Федерации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В 2024 году министерством труда и социального развития Новосибирской области (далее – министерство) приняты нормативные правовые акты:</w:t>
            </w:r>
          </w:p>
          <w:p>
            <w:pPr>
              <w:pStyle w:val="ConsPlusNormal1"/>
              <w:shd w:val="clear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приказ от 13.02.2024 № 225-НПА «О внесении изменений в приказ министерства труда и социального развития Новосибирской области от 18.01.2018 № 43»;</w:t>
            </w:r>
          </w:p>
          <w:p>
            <w:pPr>
              <w:pStyle w:val="ConsPlusNormal1"/>
              <w:shd w:val="clear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приказ от 13.02.2024 № 224-НПА «О внесении изменений в приказ министерства труда и социального развития новосибирской области от 12.02.2018 № 136»;</w:t>
            </w:r>
          </w:p>
          <w:p>
            <w:pPr>
              <w:pStyle w:val="ConsPlusNormal1"/>
              <w:shd w:val="clear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приказ от 01.03.2024 № 337-НПА «О внесении изменений в приказ министерства труда и социального развития Новосибирской области от 18.01.2018 № 43»;</w:t>
            </w:r>
          </w:p>
          <w:p>
            <w:pPr>
              <w:pStyle w:val="ConsPlusNormal1"/>
              <w:shd w:val="clear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приказ от 21.03.2024 № 464-НПА «О внесении изменений в приказ министерства труда и социального развития Новосибирской области от 18.01.2018 № 43»;</w:t>
            </w:r>
          </w:p>
          <w:p>
            <w:pPr>
              <w:pStyle w:val="ConsPlusNormal1"/>
              <w:shd w:val="clear" w:fill="FFFFFF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  <w:lang w:eastAsia="en-US"/>
              </w:rPr>
              <w:t>приказ от 22.04.2024 № 734-НПА «О внесении изменений в приказ министерства труда и социального развития Новосибирской области от 25.06.2020 № 570»;</w:t>
            </w:r>
          </w:p>
          <w:p>
            <w:pPr>
              <w:pStyle w:val="ConsPlusNormal1"/>
              <w:shd w:val="clear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приказ от 19.06.2024 № 1342-НПА «О внесении изменений в отдельные приказы министерства труда и социального развития Новосибирской области»;</w:t>
            </w:r>
          </w:p>
          <w:p>
            <w:pPr>
              <w:pStyle w:val="ConsPlusNormal1"/>
              <w:shd w:val="clear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приказ от 15.07.2024 № 1592-НПА «О внесении изменений в приказ министерства труда и социального развития Новосибирской области от 18.01.2018 № 43»;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приказ от 27.11.2024 № 2572-НПА «О внесении изменений в отдельные приказы министерства труда и социального развития Новосибирской области».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1.6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антикоррупционной экспертизы действующих нормативных правовых актов ОИОГВ НСО, администрации и их проектов, в том числе в процессе рассмотрения заключений Главного управления Министерства юстиции Российской Федерации по Новосибирской области, протестов, представлений и требований прокурора Новосибирской области на указанные нормативные правовые акты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За 2024 год проведена антикоррупционная экспертиза 214 проектов нормативных правовых актов министерства.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министерство поступило 9 экспертных заключений Главного управления Министерства юстиции             Российской Федерации по Новосибирской области по результатам проведения правовой экспертизы приказов министерства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в которых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коррупциогенных факторов не выявлено.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 прокуратуры Новосибирской области на действующий нормативный правовой акт министерства поступил 1 протест, представлений и требований не поступало. Указанное в протесте требование выполнено.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Проведение экспертизы нормативных правовых актов Новосибирской области, затрагивающих вопросы осуществления предпринимательской и инвестиционной деятельности, и оценки регулирующего воздействия проектов нормативных правовых актов Новосибирской области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color w:val="000000"/>
                <w:sz w:val="28"/>
                <w:szCs w:val="28"/>
              </w:rPr>
              <w:t>Проведена оценка регулирующего воздействия в отношении 8 проектов постановлений Правительства Новосибирской области, 2 проектов постановлений Губернатора Новосибирской области.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1.9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Обеспечение размещения проектов нормативных правовых актов Новосибирской области, проектов нормативных правовых актов ОИОГВ НСО, администрации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Интернет по адресу http://dem.nso.ru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Всего было размещено в государственной информационной системе Новосибирской области «Электронная демократия Новосибирской области» в информационно-телекоммуникационной сети Интернет по адресу http://dem.nso.ru 214 проектов приказов министерства, а также 163 проекта нормативных правовых актов Новосибирской области (законопроектов, проектов постановлений Правительства Новосибирской области, Губернатора Новосибирской области).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Ознакомление граждан при поступлении на государственную гражданскую службу Новосибирской области с Кодексом этики и служебного поведения государственных гражданских служащих Новосибирской области, утвержденным постановлением Губернатора Новосибирской области от 13.05.2011 № 119 «О Кодексе этики и служебного поведения государственных гражданских служащих Новосибирской области», а также нормативными правовыми актами, устанавливающими ограничения и запреты, требования о предотвращении или об урегулировании конфликта интересов и исполнение обязанностей, установленных в целях противодействия коррупции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назначении на должность государственные гражданские служащие (далее – гражданские служащие) министерства знакомятся с Кодексом этики и служебного поведения гражданских служащих Новосибирской области, а также с нормативными правовыми актами, устанавливающими ограничения и запреты, требованиями о предотвращении или об урегулировании конфликта интересов и исполнении обязанностей, установленных в целях противодействия коррупции.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2.2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разъяснительной работы о необходимости соблюдения государственными гражданскими служащими Новосибирской области ограничений, запретов, установленных в целях противодействия коррупции в ОИОГВ НСО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В целях соблюдения требований законодательства о противодействии коррупции в министерстве организована работа по ознакомлению при приеме на государственную гражданскую службу (далее – гражданская служба) с нормативными правовыми актами, памятками, методическими рекомендациями по вопросам противодействия коррупции.</w:t>
            </w:r>
          </w:p>
          <w:p>
            <w:pPr>
              <w:pStyle w:val="ConsPlusNormal1"/>
              <w:ind w:left="0" w:right="0" w:firstLine="301"/>
              <w:jc w:val="both"/>
              <w:rPr>
                <w:rFonts w:ascii="Times New Roman" w:hAnsi="Times New Roman" w:eastAsia="Calibri"/>
                <w:sz w:val="28"/>
                <w:szCs w:val="28"/>
              </w:rPr>
            </w:pPr>
            <w:r>
              <w:rPr>
                <w:rFonts w:eastAsia="Calibri" w:ascii="Times New Roman" w:hAnsi="Times New Roman"/>
                <w:sz w:val="28"/>
                <w:szCs w:val="28"/>
              </w:rPr>
              <w:t>При увольнении с гражданской службы, в соответствии с приказом министерства от 27.07.2020 № 667 «О мерах по реализации отдельных положений Федерального закона «О противодействии коррупции», кадровым подразделением министерства обеспечивается доведение до сведения гражданских служащих, замещающих должности, включенные в перечень должностей гражданской службы министерства, при замещении которых гражданские служащие обязаны представлять сведения о доходах, об имуществе и обязательствах имущественного характера, условий, влекущих распространение на гражданина обязанности получения согласия комиссии по соблюдению требований к служебному поведению и урегулированию конфликта интересов министерства, и порядка направления гражданином обращения о даче согласия на трудоустройство.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2.10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Систематическое проведение оценки коррупционных рисков, возникающих при реализации государственными гражданскими служащими Новосибирской области функций ОИОГВ НСО, выявление новых коррупционных рисков, выработка и реализация мер по их минимизации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 министерстве систематически проводится оценка коррупционных рисков, возникающих при реализации гражданскими служащими министерства функций министерства.</w:t>
            </w:r>
          </w:p>
          <w:p>
            <w:pPr>
              <w:pStyle w:val="ConsPlusNormal1"/>
              <w:spacing w:lineRule="auto" w:line="240" w:before="0" w:after="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После актуализации Переч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ня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 должностей государственной гражданской службы Новосибирской области министерства,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утвержденного приказом министерства от 25.06.2020 № 570, в карту коррупционных рисков приказом министерства              от 23.12.2024 № 2763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«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 xml:space="preserve">О внесении изменения в приказ министерства труда и социального развития Новосибирской области от 28.09.2020 № 813»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внесены изменения, которые были согласованы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c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Общественн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ым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совет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ом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при министерстве.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3.2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на постоянной основе работы, касающейся ведения личных дел лиц, замещающих различные должности, в целях выявления возможного конфликта интересов, в том числе: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1) актуализация сведений личных дел лиц, замещающих государственные должности Новосибирской области, должности государственной гражданской службы Новосибирской области, лиц, замещающих муниципальные должности (в случае ведения их личных дел в соответствии с нормативными правовыми актами), в том числе в части анализа родственных связей и отношений свойства и возможной личной заинтересованности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 анализ сведений, содержащихся в анкетах, представляемых при назначении на указанные должности, и актуализированных анкетах лиц, замещающих указанные должности, в части информации о родственниках и свойственниках в целях выявления возможного конфликта интересов и принятия мер по предотвращению (урегулированию) конфликта интересов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eastAsia="Calibri" w:cs="Arial" w:ascii="Times New Roman" w:hAnsi="Times New Roman"/>
                <w:sz w:val="28"/>
                <w:szCs w:val="28"/>
                <w:lang w:eastAsia="en-US"/>
              </w:rPr>
              <w:t>1) 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в</w:t>
            </w:r>
            <w:r>
              <w:rPr>
                <w:rFonts w:eastAsia="Calibri" w:cs="Arial" w:ascii="Times New Roman" w:hAnsi="Times New Roman"/>
                <w:sz w:val="28"/>
                <w:szCs w:val="28"/>
                <w:lang w:eastAsia="en-US"/>
              </w:rPr>
              <w:t xml:space="preserve"> соответствии с подпунктом «ж» пункта 19 Положения о персональных данных государственного гражданского служащего Российской Федерации и ведении его личного дела, утвержденного Указом Президента Российской Федерации от 30.05.2005 № 609 «Об утверждении Положения о персональных данных государственного гражданского служащего Российской Федерации и ведении его личного дела», в министерстве организовано ежегодное ознакомление гражданских служащих министерства с </w:t>
            </w:r>
            <w:r>
              <w:rPr>
                <w:rFonts w:eastAsia="Calibri" w:cs="Times New Roman" w:ascii="Times New Roman" w:hAnsi="Times New Roman"/>
                <w:sz w:val="28"/>
                <w:szCs w:val="28"/>
                <w:lang w:eastAsia="en-US"/>
              </w:rPr>
              <w:t xml:space="preserve">документами их личных дел. Государственные гражданские служащие министерства также уведомлены о необходимости сообщения в кадровую службу министерства об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изменении сведений, содержащихся в анкете, предусмотренной подпунктом «а» пункта 1 Указа Президента Российской Федерации от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10.10.2024 № 870 «О некоторых вопросах представления сведений при поступлении на государственную службу Российской Федерации и муниципальную службу в Российской Федерации и их актуализации» (далее – </w:t>
            </w:r>
            <w:r>
              <w:rPr>
                <w:rFonts w:eastAsia="Calibri" w:cs="Arial" w:ascii="Times New Roman" w:hAnsi="Times New Roman"/>
                <w:sz w:val="28"/>
                <w:szCs w:val="28"/>
                <w:lang w:eastAsia="en-US"/>
              </w:rPr>
              <w:t xml:space="preserve">Указ Президента РФ от 10.10.2024 </w:t>
            </w:r>
            <w:r>
              <w:rPr>
                <w:rFonts w:ascii="Times New Roman" w:hAnsi="Times New Roman"/>
                <w:sz w:val="28"/>
                <w:szCs w:val="28"/>
              </w:rPr>
              <w:t>№ 870).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 w:cs="Arial" w:ascii="Times New Roman" w:hAnsi="Times New Roman"/>
                <w:sz w:val="28"/>
                <w:szCs w:val="28"/>
                <w:lang w:eastAsia="en-US"/>
              </w:rPr>
              <w:t>2) 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</w:t>
            </w:r>
            <w:r>
              <w:rPr>
                <w:rFonts w:eastAsia="Calibri" w:cs="Arial" w:ascii="Times New Roman" w:hAnsi="Times New Roman"/>
                <w:sz w:val="28"/>
                <w:szCs w:val="28"/>
                <w:lang w:eastAsia="en-US"/>
              </w:rPr>
              <w:t xml:space="preserve">ри приеме на должность государственной гражданской службы в министерство проводился анализ представляемой гражданином, поступающим на гражданскую службу, анкеты по форме, утвержденной распоряжением Правительства РФ от 26.05.2005 № 667-р, и, с 10.10.2024, анкеты по форме, утвержденной Указом Президента РФ от 10.10.2024 </w:t>
            </w:r>
            <w:r>
              <w:rPr>
                <w:rFonts w:ascii="Times New Roman" w:hAnsi="Times New Roman"/>
                <w:sz w:val="28"/>
                <w:szCs w:val="28"/>
              </w:rPr>
              <w:t>№ 870</w:t>
            </w:r>
            <w:r>
              <w:rPr>
                <w:rFonts w:eastAsia="Calibri" w:cs="Arial" w:ascii="Times New Roman" w:hAnsi="Times New Roman"/>
                <w:sz w:val="28"/>
                <w:szCs w:val="28"/>
                <w:lang w:eastAsia="en-US"/>
              </w:rPr>
              <w:t>. Особое внимание уделялось: соблюдению ограничений, установленных подпунктом 5 части 1 статьи 16  Федерального закона от 27.07.2004 № 79-ФЗ «О  государственной гражданской службе Российской  Федерации» (далее – Федеральный закон № 79-ФЗ); разделу анкеты, в части указания и анализа информации о лицах, являющихся близкими родственниками гражданина, поступающего на гражданскую службу, с целью выявления ситуаций возможного конфликта интересов (на предмет выявления близкого родства или свойства с лицами, замещающими в министерстве должности государственной гражданской службы, а также с лицами, замещающими должности в подведомственных министерству учреждениях).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 целью анализа и выявления ситуаций возможного конфликта интересов в августе-сентябре 2024 года организована работа по актуализации сведений, содержащихся в пункте 13 анкет государственных гражданских служащих министерства по форме, утвержденной распоряжением Правительства РФ от 26.05.2005 № 667-р, а также проведен анализ сведений о соблюдении государственными гражданскими служащими ограничений, запретов, требований о предотвращении или об урегулировании конфликта интересов, об исполнении ими обязанностей, установленных законодательством Российской Федерации о противодействии коррупции.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настоящее время проводится работа по актуализации анкет государственных гражданских служащих министерства по форме, утвержденной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Указом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Президента РФ от 10.10.2024 № 870.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Принятие мер по выявлению личной заинтересованности при осуществлении закупок товаров, работ и услуг для обеспечения государственных нужд Новосибирской области, в том числе: проведение анализа информации об участниках государственных закупок на предмет установления их аффилированных связей с государственными гражданскими служащими, в том числе членами комиссий по осуществлению закупок, с учетом методических материалов по выявлению личной заинтересованности в закупках, разработанных Министерством труда и социальной защиты Российской Федерации, а также государственными органами Новосибирской области</w:t>
            </w:r>
          </w:p>
          <w:p>
            <w:pPr>
              <w:pStyle w:val="Normal"/>
              <w:spacing w:before="0" w:after="160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министерстве при осуществлении закупок для государственных нужд на постоянной основе используется комплекс взаимосвязанных механизмов выявления и исключения фактов, содержащих признаки возникновения конфликта интересов, в том числе скрытой аффилированности.</w:t>
            </w:r>
          </w:p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С этой целью, при приеме на работу в отдел контрактной службы или в профильный отдел министерства на должность, связанную с обеспечением закупочной деятельности, проводится проверка анкетных данных, биографии кандидата и отзывов с предыдущих мест работы. Организуется поэтапное тестирование, что позволяет получить психологический портрет, в том числе, с точки зрения потенциальной склонности к незаконному обогащению. С использованием данных Федеральной налоговой службы осуществляется проверка кандидатов и действующих в сфере закупок специалистов на предмет наличия возможных связей с представителями коммерческих структур. Систематически контролируются доходы и расходы лиц, осуществляющих деятельность в сфере государственных закупок, путем дополнительной проверки сведений о доходах и расходах, сопоставления получаемых доходов и текущего образа жизни. </w:t>
            </w:r>
          </w:p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постоянной основе в министерстве действует рабочая группа по повышению эффективности закупочной деятельности в Новосибирской области, созданная в соответствии с приказом министерства от 30.01.2018      № 81, и комиссия по осуществлению закупок товаров, работ, услуг для обеспечения государственных нужд Новосибирской области в установленной сфере деятельности, созданная приказом министерства от 01.02.2018 № 99.</w:t>
            </w:r>
          </w:p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Для выявления и исключения фактов, содержащих признаки возникновения конфликта интересов, скрытой аффилированности, проводится проверка обоснованности начальной (максимальной) цены   (далее – НМЦК) закупаемых товаров, работ, услуг среднерыночным ценам на данный вид товаров, работ, услуг, посредством сравнения представленных коммерческих предложений со сведениями единой информационной системы в сфере закупок, Новосибирскстата и аналогичных предложений в сети Интернет. Дополнительно осуществляется проверка отсутствия между лицами, предоставившими ценовое предложение на товары, работы, услуги для обоснования НМЦК аффилированности, а также личной корыстной заинтересованности со стороны лиц, осуществляющих закупочную деятельность, в преимуществах для конкретного поставщика (подрядчика, исполнителя). Особое внимание уделяется условиям контракта в части наличия достаточных сроков для качественного оказания услуг, поставки товаров и выполнения работ, а также исключению возможности подготовки закупки под конкретного исполнителя, завышенных требований к потенциальному участнику закупки.</w:t>
            </w:r>
          </w:p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При определении поставщика (подрядчика, исполнителя) конкурентным способом министерство действует строго в рамках Порядка взаимодействия заказчиков Новосибирской области с уполномоченным учреждением в сфере закупок товаров, работ, услуг для обеспечения государственных нужд Новосибирской области, утвержденного постановлением Правительства Новосибирской области от 30.12.2013 № 596-п «О возложении полномочий на государственное казенное учреждение Новосибирской области «Управление контрактной системы». </w:t>
            </w:r>
          </w:p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При подготовке проектов контрактов министерство руководствуется положениями Федерального закона                  от 05.04.2013 № 44-ФЗ «О контрактной системе в сфере закупок товаров, работ, услуг для обеспечения государственных и муниципальных нужд», использует формы и условия контрактов, утвержденные федеральными органами исполнительной власти.</w:t>
            </w:r>
          </w:p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На последнем этапе закупки, в целях предотвращения коррупции и других злоупотреблений при приемке поставленных товаров, выполненных работ, оказанных услуг, приемочной комиссией, созданной в соответствии с приказом министерства от 10.07.2020 № 610, осуществляется проверка соответствия результатов закупки условиям контракта.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3.6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сведений о доходах, расходах, об имуществе и обязательствах имущественного характера, представленных лицами, замещающими должности государственной гражданской службы в ОИОГВ НСО, руководителями подведомственных государственных учреждений Новосибирской области, в том числе путем получения информации и сведений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отчетном году сведения о доходах, расходах, об имуществе и обязательствах имущественного характера (далее – сведения о доходах) представлялись гражданскими служащими министерства в соответствии с перечнем должностей государственной гражданской службы Новосибирской области министерства труда и социального развития Новосибирской области, при замещении которых государственные гражданские служащие Новосибирской области обязаны представлять сведения о доходах, об имуществе и обязательствах имущественного характера, утвержденным приказом министерства от 25.06.2020 № 570 (99 декларантов), а также руководителями подведомственных министерству учреждений (91 декларант). 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 приеме справок о доходах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>, расходах, об имуществе и обязательствах имущественного характера (далее – справка о доходах):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проводилась первичная оценка, направленная на выявление очевидного отсутствия необходимой информации, возможных неточностей, технических ошибок при заполнении справки о доходах;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посредством сверки с материалами, хранящимися в личном деле, уточнялось семейное положение декларанта, проверялось наличие необходимых справок о доходах на супруга(у), несовершеннолетних детей, соответствие паспортных данных и сведений о месте регистрации (жительства) имеющимся материалам, осуществлялась сверка других анкетных данных;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посредством проведения бесед и получения с согласия декларанта необходимых пояснений, осуществлялась конкретизация содержания представленных сведений о доходах, изложение, объективность и (или полнота) которых могли вызывать обоснованные сомнения.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рамках декларационной кампании 2024 года сведения о доходах загружались в государственную информационную систему Новосибирской области «Кадровый учет государственных гражданских служащих Новосибирской области», что позволило сравнить данные декларантов с данными, представленными в 2023 и 2022 году, а также в процессе приема справок о доходах выявить неточности, допущенные при заполнении.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 проведении анализа сведений о доходах использовались информационно-коммуникационные технологии (сведения о доходах анализировались и проверялись с учетом данных, полученных с помощью ресурса «Rusprofile» – сервиса проверки контрагентов). Посредством межведомственной автоматизированной информационной системы Новосибирской области от Федеральной службы государственной регистрации, кадастра и картографии (Росреестр) была получ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информация о принадлежащих декларанту и членам его семьи объектах недвижимого имущества (выявлялись неточности, допущенные при заполнении справок о доходах, в частности, при указании: вида недвижимого имущества, площади недвижимого имущества, реквизитов документов, подтверждающих право собственности и (или) являющихся правовым основанием возникновения права собственности), от Фонда пенсионного и социального страхования Российской Федерации была получ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ена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информация о выплаченных декларантам пособиях.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анализа сведений о доходах при наличии оснований инициировалось проведение проверок достоверности и полноты сведений о доходах, об имуществе и обязательствах имущественного характера.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3.8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Проведение при наличии оснований проверок достоверности и полноты сведений о доходах, об имуществе и обязательствах имущественного характера, представленных государственными гражданскими служащими ОИОГВ НСО, руководителями подведомственных государственных учреждений Новосибирской области, в том числе с использованием возможности получения соответствующей информации от федеральных органов исполнительной власти в рамках межведомственного электронного взаимодействия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итогам анализа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представленных сведений о доходах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в ходе декларационной кампании 2024 года, на основании информации, поступившей от кадрового подразделения министерства, содержащей достаточную информацию для принятия решения о проведении проверочных мероприятий, было проведено 4 проверки достоверности и полноты сведений о доходах, об имуществе и обязательствах имущественного характера, представленных в рамках декларационной кампании, в отношении руководителей подведомственных министерству учреждений. В отношении государственных гражданских служащих министерства проверки не осуществлялись.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проведении проверок достоверности и полноты сведений о доходах, об имуществе и обязательствах имущественного характера использовались информационно-коммуникационные технологии («Rusprofile» – сервис проверки контрагентов; межведомственная автоматизированная информационная система Новосибирской области, в том числе информация от Федеральной службы государственной регистрации, кадастра и картографии (Росреестр), от Фонда пенсионного и социального страхования Российской Федерации).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итогам четырех проведенных проверок 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 xml:space="preserve">достоверности и полноты сведений о доходах в отношении трех руководителей подведомственных министерству учреждений было применено дисциплинарное взыскание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в виде замечания, в отношении одного руководителя принято решение меру ответственности, предусмотренную нормативными правовыми актами Российской Федерации, не применять. 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3.10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Осуществление взаимодействия в соответствии с федеральным законодательством и законодательством Новосибирской области с правоохранительными органами, иными территориальными органами федеральных органов исполнительной власти в Новосибирской области в ходе контроля за соблюдением государственными гражданскими служащими Новосибирской области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коррупции, в том числе при реализации национальных и федеральных проектов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году в ходе контроля за соблюдением гражданскими служащими министерства ограничений и запретов, требований о предотвращении или об урегулировании конфликта интересов и исполнением обязанностей, установленных в целях противодействия коррупции, в том числе при реализации национальных и федеральных проектов, взаимодействие с правоохранительными органами, иными территориальными органами федеральных органов исполнительной власти в Новосибирской области не осуществлялось ввиду отсутствия оснований.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3.12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Проведение анализа и принятие мер по соблюдению лицами, замещающими должности государственной гражданской службы в ОИОГВ НСО, запретов, ограничений и требований, установленных в целях противодействия коррупции, в том числе касающихся: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получения подарков;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 уведомления о личной заинтересованности при исполнении должностных обязанностей, которая может привести к конфликту интересов, и принятии мер по предотвращению такого конфликта;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3) уведомления об обращениях в целях склонения к совершению коррупционных правонарушений;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4) получения разрешения на участие на безвозмездной основе в управлении некоммерческой организацией;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5) соблюдения порядка выполнения иной оплачиваемой работы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 назначении на должность гражданские служащие министерства знакомятся с нормативными правовыми актами по вопросам гражданской службы, противодействия коррупции, в том числе: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постановлением Губернатора Новосибирской области от 01.07.2016 № 154 «О порядке сообщения лицами, замещающими отдельные государственные должности Новосибирской области, должности государственной гражданской службы Новосибирской области, о получении подарка в связи с протокольными мероприятиями, служебными командировками и другими официальными мероприятиями, участие в которых связано с исполнением ими служебных (должностных) обязанностей, сдачи и оценки подарка, его реализации (выкупа)»;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министерства от 26.12.2017 № 95 «О Порядке сообщения государственными гражданскими служащими Новосибирской области, замещающими должности государственной гражданской службы в министерстве труда и социального развития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приказом министерства от 12.02.2018 № 136 «О Порядке уведомления представителя нанимателя о фактах обращения в целях склонения государственного гражданского служащего к совершению коррупционных правонарушений, перечне сведений, содержащихся в уведомлениях, организации проверки этих сведений и порядке регистрации уведомлений в министерстве труда и социального развития Новосибирской области»;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приказом министерства от 20.11.2017 № 70 «О порядке предварительного уведомления»; 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приказом министерства от 12.02.2018 № 139 «О Порядке получения государственными гражданскими служащими Новосибирской области, замещающими должности государственной гражданской службы в министерстве труда и социального развития Новосибирской области, разрешения на участие в управлении отдельными некоммерческими организациями на безвозмездной основе».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году: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1) уведомлени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я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 получении подарков в связи с протокольными мероприятиями, служебными командировками и другими официальными мероприятиями министерства, от гражданских служащих министерства не поступал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и;</w:t>
            </w:r>
          </w:p>
          <w:p>
            <w:pPr>
              <w:pStyle w:val="Normal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2) 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от гражданских служащих министерства не поступали;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3) 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оступило 1 уведомление о факте обращения к гражданскому служащему министерства в целях склонения его к совершению коррупционного правонарушения. По результатам проверки факт обращения в целях склонения гражданского служащего министерства к совершению коррупционного правонарушения подтвердился, материалы направлены в Отдел полиции №1 «Центральный» Управления МВД России по городу Новосибирску;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4</w:t>
            </w:r>
            <w:r>
              <w:rPr>
                <w:rFonts w:ascii="Times New Roman" w:hAnsi="Times New Roman"/>
                <w:sz w:val="28"/>
                <w:szCs w:val="28"/>
              </w:rPr>
              <w:t>) ходатайства от гражданских служащих министерства о разрешении участия на безвозмездной основе в управлении некоммерческой организацией не поступали;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5) зарегистрированы три предварительных уведомления гражданских служащих представителя нанимателя о выполнении иной оплачиваемой работы. Уведомления были направлены до начала выполнения иной оплачиваемой деятельности. Выполнение иной оплачиваемой деятельности планировалось осуществлять вне служебного времени с соблюдением служебного распорядка министерства, а также соблюдением ограничений, запретов и требований к служебному поведению гражданского служащего. Данные уведомления были проанализированы на предмет наличия конфликта интересов и/или возможности его возникновения, а также соблюдения ограничений и запретов при выполнении иной оплачиваемой работы. Выполнение иной оплачиваемой деятельности было согласовано министром труда и социального развития Новосибирской области. 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3.13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Проведение анализа состояния работы по предупреждению коррупции в государственных учреждениях Новосибирской области и организациях, созданных для выполнения задач, поставленных перед ОИОГВ НСО, в том числе: обеспечение мониторинга реализации мер по противодействию коррупции в государственных учреждениях Новосибирской области и организациях, созданных для выполнения задач, поставленных перед исполнительными органами государственной власти Новосибирской области, и заполнение формы мониторинга, разработанной органом Новосибирской области по профилактике коррупционных и иных правонарушений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Министерством обеспечивается сбор информации относительного каждого государственного учреждения, подведомственного министерству, проводится анализ состояния работы 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по предупреждению коррупции.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Результаты мониторинга реализации мер по противодействию коррупции в подведомственных министерству учреждениях будут представлены на электронном носителе в отдел по профилактике коррупционных и иных правонарушений администрации Губернатора Новосибирской области и Правительства Новосибирской области в срок, установленный отделом по профилатике коррупционных и ины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х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правонарушений администрации Губернатора Новосибирской области и Правительства Новосибирской области (письмо            от 25.12.202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№ 490/34-Вн).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3.14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Активизация работы комиссий по соблюдению требований к служебному поведению государственных гражданских служащих Новосибирской области и урегулированию конфликта интересов, по рассмотрению вопросов соблюдения ограничений и запретов, требований о предотвращении или об урегулировании конфликта интересов и исполнения обязанностей, установленных в целях противодействия коррупции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В 2024 году проведен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три заседания комиссии.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первом заседании комиссии рассмотрены вопросы: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1) 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 xml:space="preserve">об </w:t>
            </w:r>
            <w:r>
              <w:rPr>
                <w:rFonts w:ascii="Times New Roman" w:hAnsi="Times New Roman"/>
                <w:sz w:val="28"/>
                <w:szCs w:val="28"/>
              </w:rPr>
              <w:t>уведомлени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организации о заключении с гражданином, замещавшим должность государственной гражданской службы в министерстве, трудового договора.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По итогам рассмотрения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у</w:t>
            </w:r>
            <w:r>
              <w:rPr>
                <w:rFonts w:ascii="Times New Roman" w:hAnsi="Times New Roman"/>
                <w:sz w:val="28"/>
                <w:szCs w:val="28"/>
              </w:rPr>
              <w:t>становлено, что при заключении трудового договора между гражданином и учреждением были допущены нарушения в связи с трудоустройством гражданина до получения разрешения комиссии;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2)об актуализации перечня должностей государственной гражданской службы Новосибирской области министерства, при замещении которых государственные гражданские служащие Новосибирской области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 (далее – перечень должностей).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рассмотрения принято решение актуализировать перечень должностей в соответствии с предлагаемыми изменениями.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На втором заседании комиссии рассмотрен вопрос о даче согласия на замещение должности в организации на условиях трудового договора гражданину, замещавшему должность государственной гражданской службы Новосибирской области в министерстве.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рассмотрения принято решение дать согласие гражданину, замещавшему должность государственной гражданской службы Новосибирской области в министерстве, на замещение должности в организации на условиях трудового договора.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третьем заседании комиссии рассмотрены вопросы: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1) о результатах представления в 2024 году государственными гражданскими служащими министерства и кандидатами на должности государственной гражданской службы министерства сведений о доходах, расходах, об имуществе и обязательствах имущественного характера.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рассмотрения принято решение принять к сведению доклад о результатах представления в 2024 году государственными гражданскими служащими министерства и кандидатами на должности государственной гражданской службы министерства сведений о доходах, расходах, об имуществе и обязательствах имущественного характера.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 xml:space="preserve">2) о 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п</w:t>
            </w:r>
            <w:r>
              <w:rPr>
                <w:rFonts w:ascii="Times New Roman" w:hAnsi="Times New Roman"/>
                <w:sz w:val="28"/>
                <w:szCs w:val="28"/>
              </w:rPr>
              <w:t>одведени</w:t>
            </w: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и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итогов деятельности комиссии в 2024 году. Утверждение плана работы комиссии на 2025 год.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 итогам рассмотрения приняты решения: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а) принять к сведению информацию об итогах деятельности комиссии в 2024 году;</w:t>
            </w:r>
          </w:p>
          <w:p>
            <w:pPr>
              <w:pStyle w:val="Normal"/>
              <w:jc w:val="both"/>
              <w:rPr/>
            </w:pPr>
            <w:r>
              <w:rPr>
                <w:rFonts w:eastAsia="Calibri" w:cs="Arial" w:ascii="Times New Roman" w:hAnsi="Times New Roman"/>
                <w:color w:val="auto"/>
                <w:kern w:val="0"/>
                <w:sz w:val="28"/>
                <w:szCs w:val="28"/>
                <w:lang w:val="ru-RU" w:eastAsia="en-US" w:bidi="ar-SA"/>
              </w:rPr>
              <w:t>б</w:t>
            </w:r>
            <w:r>
              <w:rPr>
                <w:rFonts w:ascii="Times New Roman" w:hAnsi="Times New Roman"/>
                <w:sz w:val="28"/>
                <w:szCs w:val="28"/>
              </w:rPr>
              <w:t>) утвердить план работы комиссии на 2025 год.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Информация о проведенных заседаниях комиссии размещена на странице официального сайта министерства в информационно-телекоммуникационной сети «Интернет»: https://mtsr.nso.ru/page/1293.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3.15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Осуществление контроля за соответствием расходов лиц, замещающих государственные должности, и иных лиц их доходам в соответствии с федеральным законодательством и законодательством Новосибирской области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рамках декларационной кампании 2024 года 6 гражданскими служащими министерства была представлена информация (заполнен раздел 2 справки о доходах) о совершении в отчетном периоде сделок на сумму, превышающую доход гражданского служащего и его супруги (супруга) – при наличии, – за три последних года, предшествующих отчетному периоду. 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 основании методических материалов Министерства труда и социальной защиты Российской Федерации по проведению анализа сведений о доходах, расходах, об имуществе и обязательствах имущественного характера и практического пособия «Осуществление контроля за расходами лиц, замещающих различные должности», разработанного отделом по профилактике коррупционных и иных правонарушений администрации Губернатора Новосибирской области и Правительства Новосибирской области совместно с прокуратурой Новосибирской области, был проведен анализ сведений о расходах, представленных в рамках декларационной кампании 2024 года гражданскими служащими министерства.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ходе предварительного анализа гражданскими служащими министерства были представлены дополнительные пояснения и подтверждающие документы. 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Гражданским служащим № 1 приобретен земельный участок площадью 1004,0 кв. м за счет кредитных средств и денежных средств, полученных от гражданского супруга, представлены пояснения с описанием происхождения источников денежных средств, за счет которых совершена сделка, с приложением подтверждающих документов, в том числе: копия договора купли-продажи на земельный участок, выписка из ЕГРН, копия кредитного договора, оферта о заключении договора оказания услуг; документы, подтверждающие факт передачи денежных средств (копия расписки о передаче денежных средств, копия расписки о получении денежных средств от гражданского супруга, копия платежного поручения), выписка по счету индивидуального предпринимателя.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Гражданским служащим № 2 приобретена квартира площадью 54,4 кв. м за счет денежных средств, полученных от продажи квартиры, находящейся в собственности гражданского служащего, представлены пояснения с описанием происхождения источников денежных средств, за счет которых совершена сделка, с приложением подтверждающих документов, в том числе: копия договора купли-продажи объекта недвижимого имущества (вновь приобретенного), копия договора купли-продажи объекта недвижимого имущества; документы, подтверждающие факт передачи денежных средств (выписки о движении денежных средств по счетам).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Гражданским служащим № 3 приобретена квартира площадью 68,2 кв. м за счет кредитных средств и денежных средств, полученных от продажи квартиры, находящейся в собственности гражданского служащего, представлены пояснения с описанием происхождения источников денежных средств, за счет которых совершена сделка, с приложением подтверждающих документов, в том числе: договор участия в долевом строительстве, копия договора купли-продажи объекта недвижимого имущества, находящегося в собственности гражданского служащего, копия кредитного договора; документы, подтверждающие факт передачи денежных средств (выписка о движении денежных средств по счету Эскроу, платежные поручения, копия расписки о получении денежных средств).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Гражданским служащим № 4 приобретена квартира площадью 42,4 кв. м за счет кредитных средств и денежных средств, полученных от продажи квартиры, находящейся в собственности гражданского служащего, представлены пояснения с описанием происхождения источников денежных средств, за счет которых совершена сделка, с приложением подтверждающих документов, в том числе: копия договора купли-продажи объекта недвижимого имущества (вновь приобретенного), копия договора купли-продажи объекта недвижимого имущества, копия кредитного договора; документы, подтверждающие факт передачи денежных средств (копия платежного поручения, копия расписки о получении денежных средств, копия расписки о передаче денежных средств, копия справки по операции зачисления денежных средств).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Гражданским служащим № 5 приобретено транспортное средство за счет кредитных средств и собственных денежных средств супруга, полученных от деятельности индивидуального предприятия, представлены пояснения с описанием происхождения источников денежных средств, за счет которых совершена сделка, с приложением подтверждающих документов, в том числе: копия договора купли-продажи транспортного средства, копия счет-фактуры, выписка из ЭПТС, копия свидетельства о регистрации ТС, копия кредитного договора; документы, подтверждающие факт передачи денежных средств (копия счета на оплату, копия чека).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Гражданским служащим № 6 приобретена квартира площадью 23,2 кв. м и три транспортных средства за счет денежных средств накопительно-ипотечной системы жилищного обеспечения военнослужащих, кредитных средств, денежных средств, полученных от продажи транспортного средства, находящегося в собственности гражданского служащего, и собственных денежных средств, представлены пояснения с описанием происхождения источников денежных средств, за счет которых совершена сделка, с приложением подтверждающих документов, в том числе: копия договора купли-продажи объекта недвижимого имущества, копии договоров купли-продажи транспортного средства (вновь приобретенных), копия договора купли-продажи транспортного средства, копии свидетельств о регистрации ТС, копии выписок из ЭПТС, копии двух кредитных договоров; документы, подтверждающие факт передачи денежных средств (копия платежного поручения, копия приходного кассового ордера, копия расписки о передаче денежных средств, копия выписки из лицевого счета, копия таможенного приходного ордера, копии заявлений на открытие аккредитива).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Посредством межведомственной автоматизированной информационной системы Новосибирской области от Федеральной службы государственной регистрации, кадастра и картографии (Росреестр) были запрошены сведения о принадлежащих гражданским служащим министерства и несовершеннолетним членам их семей объектах недвижимого имущества. Данные Росреестра также соответствовали данным декларантов.</w:t>
            </w:r>
          </w:p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 ходе предварительного анализа документально была подтверждена законность источников денежных средств, использованных государственными служащими министерства на приобретение имущества, соответствие расходов доходам, полнота и достоверность сведений о расходах, указанных декларантами. 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Подготовлены докладные записки министру труда и социального развития Новосибирской области для рассмотрения вопроса о достаточности оснований для направления Губернатору Новосибирской области информации о совершении гражданскими служащими в отчетном году сделок, превышающих общий доход гражданского служащего и его супруги (супруга) за три последних года, предшествующих отчетному периоду, для принятия решения об осуществлении контроля за расходами. Приняты решения об отсутствии достаточности оснований для направления Губернатору Новосибирской области информации о совершении гражданскими служащими министерства в отчетном году сделок, превышающих общий доход гражданского служащего и его супруги (супруга) за три последних года, предшествующих отчетному периоду.</w:t>
            </w:r>
          </w:p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Результаты анализа сведений о расходах были рассмотрены на заседании комиссии по соблюдению требований к служебному поведению государственных гражданских служащих и урегулированию конфликта интересов министерства в ноябре 2024 года</w:t>
            </w:r>
            <w:bookmarkStart w:id="3" w:name="_GoBack11"/>
            <w:bookmarkEnd w:id="3"/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3.16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Организация и проведение семинаров и совещаний, иных обучающих мероприятий по вопросам профилактики коррупции, в том числе:</w:t>
            </w:r>
          </w:p>
          <w:p>
            <w:pPr>
              <w:pStyle w:val="Normal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1) с руководителями и работниками государственных учреждений Новосибирской области и организаций, созданных для выполнения задач, поставленных перед ОИОГВ НСО, ответственными за работу по профилактике коррупционных и иных правонарушений;</w:t>
            </w:r>
          </w:p>
          <w:p>
            <w:pPr>
              <w:pStyle w:val="Normal"/>
              <w:spacing w:before="0" w:after="16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2) с лицами, замещающими должности в ОИОГВ НСО и бюджетных учреждениях, предусматривающие выполнение организационно-распорядительных и административно-хозяйственных функций, в том числе участвующими в реализации национальных и федеральных проектов, осуществлении закупок товаров, работ и услуг для государственных нужд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1)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в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году с директор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ами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подведомственных учреждений министерством организованы и проведены следующие мероприятия: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а) 28.11.2024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специалистами министерства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 xml:space="preserve">во взаимодействии с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сотрудник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kern w:val="0"/>
                <w:sz w:val="28"/>
                <w:szCs w:val="28"/>
                <w:lang w:val="ru-RU" w:eastAsia="ru-RU" w:bidi="ar-SA"/>
              </w:rPr>
              <w:t>ами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отдела по профилактике коррупционных и иных правонарушений администрации Губернатора Новосибирской области и Правительства Новосибирской области, с участием представителей прокуратуры Новосибирской области, Следственного управления Следственного комитета по Новосибирской области в рамках Плана совместных мероприятий Общественной палаты Новосибирской области, областных исполнительных органов Новосибирской области, государственнных органов Новосибирской области по повышению роли гражданского общества в противодействии коррупции на 2024-2026 годы, утвержденного распоряжением Губернатора Новосибирской области от 22.02.2024           № 35-р,</w:t>
            </w:r>
            <w:r>
              <w:rPr>
                <w:rFonts w:eastAsia="Times New Roman" w:cs="Times New Roman" w:ascii="Times New Roman" w:hAnsi="Times New Roman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 xml:space="preserve"> во исполнение пункта 3.16 программы «Противодействие коррупции в Новосибирской области на 2021 - 2024 годы», утвержденной постановлением Губернатора Новосибирской области от 27.09.2021 № 194, пункта 4 программы «Антикоррупционное просвещение в Новосибирской области на 2022 - 2024 годы», утвержденной постановлением Правительства Новосибирской области от 15.02.2022 № 43-п, проведено совещание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000000"/>
                <w:spacing w:val="0"/>
                <w:sz w:val="28"/>
                <w:szCs w:val="28"/>
                <w:lang w:eastAsia="ru-RU"/>
              </w:rPr>
              <w:t>с директорами государственных учреждений, подведомственных министерству, по вопросу организации в государственных учреждениях работы в сфере противодействия коррупции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color w:val="212529"/>
                <w:spacing w:val="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(в мероприятии приняли участие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94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человека);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u w:val="none"/>
                <w:lang w:val="ru-RU" w:eastAsia="ru-RU" w:bidi="ar-SA"/>
              </w:rPr>
              <w:t>б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none"/>
                <w:lang w:eastAsia="ru-RU"/>
              </w:rPr>
              <w:t>) 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u w:val="none"/>
                <w:lang w:val="ru-RU" w:eastAsia="ru-RU" w:bidi="ar-SA"/>
              </w:rPr>
              <w:t>на постоянной основе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u w:val="none"/>
                <w:lang w:eastAsia="ru-RU"/>
              </w:rPr>
              <w:t xml:space="preserve"> в министерстве проводятся селекторные совещания с директорами подведомственных учре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ждений, на которых по мере необходимости рассматриваются вопросы противодействия коррупции;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2) в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году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граждански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служащи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й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министерства, в должностные обязанности котор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ого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входит участие в проведении закупок товаров, работ и услуг для обеспечения государственных нужд, </w:t>
            </w:r>
            <w:r>
              <w:rPr>
                <w:rFonts w:eastAsia="Calibri" w:cs="Times New Roman" w:ascii="Times New Roman" w:hAnsi="Times New Roman"/>
                <w:color w:val="000000"/>
                <w:sz w:val="28"/>
                <w:szCs w:val="28"/>
                <w:lang w:eastAsia="ru-RU"/>
              </w:rPr>
              <w:t>прошел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повышение квалификации по теме «Основы профилактики коррупции в сфере закупок товаров, работ, услуг для обеспечения государственных и муниципальных нужд», 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граждански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служащи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министерства, участвующи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х</w:t>
            </w:r>
            <w:r>
              <w:rPr>
                <w:rFonts w:eastAsia="Times New Roman" w:cs="Times New Roman" w:ascii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lang w:eastAsia="ru-RU"/>
              </w:rPr>
              <w:t>в реализации национальных и федеральных проектов, прош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kern w:val="0"/>
                <w:sz w:val="28"/>
                <w:szCs w:val="28"/>
                <w:u w:val="none"/>
                <w:lang w:val="ru-RU" w:eastAsia="ru-RU" w:bidi="ar-SA"/>
              </w:rPr>
              <w:t>ли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  <w:lang w:eastAsia="ru-RU"/>
              </w:rPr>
              <w:t xml:space="preserve"> очно-дистанционный курс по программе повышения квалификации 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szCs w:val="28"/>
                <w:u w:val="none"/>
                <w:lang w:eastAsia="ru-RU"/>
              </w:rPr>
              <w:t>«Минимизация рисков коррупционных правонарушений при реализации национальных и федеральных проект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kern w:val="0"/>
                <w:sz w:val="28"/>
                <w:szCs w:val="28"/>
                <w:u w:val="none"/>
                <w:lang w:val="ru-RU" w:eastAsia="ru-RU" w:bidi="ar-SA"/>
              </w:rPr>
              <w:t>ах ПК</w:t>
            </w:r>
            <w:r>
              <w:rPr>
                <w:rFonts w:eastAsia="Times New Roman" w:cs="Times New Roman" w:ascii="Times New Roman" w:hAnsi="Times New Roman"/>
                <w:b w:val="false"/>
                <w:i w:val="false"/>
                <w:caps w:val="false"/>
                <w:smallCaps w:val="false"/>
                <w:strike w:val="false"/>
                <w:dstrike w:val="false"/>
                <w:color w:val="000000"/>
                <w:spacing w:val="0"/>
                <w:sz w:val="28"/>
                <w:szCs w:val="28"/>
                <w:u w:val="none"/>
                <w:lang w:eastAsia="ru-RU"/>
              </w:rPr>
              <w:t>».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4.1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Информирование граждан, субъектов предпринимательской деятельности и общественных объединений о целях, задачах и мероприятиях Программы, в том числе с использованием средств массовой информации, с обеспечением возможности ознакомления с результатами реализации мероприятий Программы на официальном сайте Губернатора Новосибирской области и Правительства Новосибирской области, включая: размещение видеоматериалов на официальном сайте Губернатора Новосибирской области и Правительства Новосибирской области, на официальных сайтах ОИОГВ НСО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Мероприятия Программы, исполнителем по которым является министерство, включены в План мероприятий по противодействию коррупции в министерстве труда и социального развития Новосибирской области на 2021-2024 годы, утвержденный приказом министерства          от 17.09.2021 № 812.</w:t>
            </w:r>
          </w:p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Информирование граждан, субъектов предпринимательской деятельности и общественных объединений о целях, задачах и мероприятиях Плана мероприятий по противодействию коррупции в министерстве труда и социального развития Новосибирской области на 2021-2024 годы осуществляется путем размещения информации на официальном сайте министерства.</w:t>
            </w:r>
          </w:p>
          <w:p>
            <w:pPr>
              <w:pStyle w:val="ConsPlusNormal1"/>
              <w:spacing w:lineRule="auto" w:line="240" w:before="0" w:after="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202</w:t>
            </w:r>
            <w:r>
              <w:rPr>
                <w:rFonts w:eastAsia="Times New Roman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году видеоматериалы на официальном сайте министерства не размещались.</w:t>
            </w:r>
          </w:p>
        </w:tc>
      </w:tr>
      <w:tr>
        <w:trPr/>
        <w:tc>
          <w:tcPr>
            <w:tcW w:w="17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4.2 </w:t>
            </w:r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Вовлечение в процесс осуществления мероприятий антикоррупционного характера представителей общественного совета, образованного при каждом ОИОГВ НСО</w:t>
            </w:r>
          </w:p>
        </w:tc>
        <w:tc>
          <w:tcPr>
            <w:tcW w:w="6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состав комиссии по соблюдению требований к служебному поведению государственных гражданских служащих и урегулированию конфликта интересов министерства входит представитель общественного совета при министерстве (Каребо Д.Н., председатель Фонда поддержки социальных инициатив «Мы вместе»).</w:t>
            </w:r>
            <w:r>
              <w:rPr>
                <w:rFonts w:cs="Times New Roman" w:ascii="Times New Roman" w:hAnsi="Times New Roman"/>
                <w:sz w:val="28"/>
                <w:szCs w:val="28"/>
                <w:highlight w:val="yellow"/>
              </w:rPr>
              <w:t xml:space="preserve"> </w:t>
            </w:r>
          </w:p>
          <w:p>
            <w:pPr>
              <w:pStyle w:val="Normal"/>
              <w:spacing w:before="0" w:after="160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На заседании общественного совета, образованного при министерстве,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18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.1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2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.202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рассмотрен проект изменений в карту коррупционных рисков министерства, который был одобрен и согласован.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eastAsia="Times New Roman" w:cs="Times New Roman"/>
                <w:sz w:val="28"/>
                <w:szCs w:val="28"/>
                <w:lang w:eastAsia="ru-RU"/>
              </w:rPr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4.3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Обеспечение рассмотрения на заседаниях общественных советов, образованных при ОИОГВ НСО, вопросов профилактики коррупции, в том числе результатов реализации Программы, а также антикоррупционных программ (планов по противодействию коррупции), утвержденных и реализуемых соответствующим ОИОГВ НСО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202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4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году на заседани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и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общественного совета, образованного при министерстве, 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рассмотрен вопрос о внесении изменений в карту коррупционных рисков министерства (протокол № 8 от 18.1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2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.202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 xml:space="preserve">4). </w:t>
            </w:r>
          </w:p>
          <w:p>
            <w:pPr>
              <w:pStyle w:val="Normal"/>
              <w:spacing w:lineRule="auto" w:line="240" w:before="0" w:after="0"/>
              <w:jc w:val="both"/>
              <w:rPr/>
            </w:pP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>Рассмотрен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ие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на общественном совете вопрос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а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об исполнении министерством программы «Противодействие коррупции в Новосибирской области на 2021-2024 годы», утвержденной постановлением Губернатора Новосибирской области от 27.09.2021       № 194, Плана мероприятий по противодействию коррупции в министерстве за 202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sz w:val="28"/>
                <w:szCs w:val="28"/>
                <w:lang w:val="ru-RU" w:eastAsia="ru-RU" w:bidi="ar-SA"/>
              </w:rPr>
              <w:t>4</w:t>
            </w:r>
            <w:r>
              <w:rPr>
                <w:rFonts w:eastAsia="Times New Roman" w:cs="Times New Roman" w:ascii="Times New Roman" w:hAnsi="Times New Roman"/>
                <w:sz w:val="28"/>
                <w:szCs w:val="28"/>
                <w:lang w:eastAsia="ru-RU"/>
              </w:rPr>
              <w:t xml:space="preserve"> год, запланировано на 1 квартал 2025 года.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4.4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Обеспечение размещения на официальном сайте Губернатора Новосибирской области и Правительства Новосибирской области, официальных сайтах ОИОГВ НСО информации о своей деятельности в сфере противодействия коррупции и поддержания ее в актуальном состоянии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/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 xml:space="preserve">В министерстве </w:t>
            </w:r>
            <w:r>
              <w:rPr>
                <w:rFonts w:eastAsia="Calibri" w:cs="Times New Roman" w:ascii="Times New Roman" w:hAnsi="Times New Roman"/>
                <w:color w:val="auto"/>
                <w:kern w:val="0"/>
                <w:sz w:val="28"/>
                <w:szCs w:val="28"/>
                <w:lang w:val="ru-RU" w:eastAsia="ru-RU" w:bidi="ar-SA"/>
              </w:rPr>
              <w:t>и</w:t>
            </w:r>
            <w:r>
              <w:rPr>
                <w:rFonts w:eastAsia="Calibri" w:cs="Times New Roman CYR" w:ascii="Times New Roman" w:hAnsi="Times New Roman"/>
                <w:sz w:val="28"/>
                <w:szCs w:val="28"/>
              </w:rPr>
              <w:t xml:space="preserve">нформация о проведенных заседаниях комиссии </w:t>
            </w:r>
            <w:r>
              <w:rPr>
                <w:rFonts w:eastAsia="Calibri" w:cs="Times New Roman" w:ascii="Times New Roman" w:hAnsi="Times New Roman"/>
                <w:sz w:val="28"/>
                <w:szCs w:val="28"/>
              </w:rPr>
              <w:t>по соблюдению требований к служебному поведению гражданских служащих и урегулированию конфликта интересов</w:t>
            </w:r>
            <w:r>
              <w:rPr>
                <w:rFonts w:eastAsia="Calibri" w:cs="Times New Roman CYR" w:ascii="Times New Roman" w:hAnsi="Times New Roman"/>
                <w:sz w:val="28"/>
                <w:szCs w:val="28"/>
              </w:rPr>
              <w:t xml:space="preserve">, </w:t>
            </w:r>
            <w:r>
              <w:rPr>
                <w:rFonts w:eastAsia="Calibri" w:cs="Times New Roman CYR" w:ascii="Times New Roman" w:hAnsi="Times New Roman"/>
                <w:color w:val="000000"/>
                <w:sz w:val="28"/>
                <w:szCs w:val="28"/>
                <w:u w:val="none"/>
              </w:rPr>
              <w:t xml:space="preserve">о проведенных мероприятиях в области противодействия коррупции </w:t>
            </w:r>
            <w:r>
              <w:rPr>
                <w:rFonts w:eastAsia="Calibri" w:cs="Times New Roman CYR" w:ascii="Times New Roman" w:hAnsi="Times New Roman"/>
                <w:sz w:val="28"/>
                <w:szCs w:val="28"/>
              </w:rPr>
              <w:t>размещается на странице официального сайта министерства                      в информационно-телекоммуникационной сети «Интернет» (</w:t>
            </w:r>
            <w:hyperlink r:id="rId2">
              <w:r>
                <w:rPr>
                  <w:rFonts w:eastAsia="Calibri" w:cs="Times New Roman CYR" w:ascii="Times New Roman" w:hAnsi="Times New Roman"/>
                  <w:color w:val="000000"/>
                  <w:sz w:val="28"/>
                  <w:szCs w:val="28"/>
                  <w:u w:val="none"/>
                </w:rPr>
                <w:t>https://mtsr.nso.ru/page/1293</w:t>
              </w:r>
            </w:hyperlink>
            <w:r>
              <w:rPr>
                <w:rFonts w:eastAsia="Calibri" w:cs="Times New Roman CYR" w:ascii="Times New Roman" w:hAnsi="Times New Roman"/>
                <w:color w:val="000000"/>
                <w:sz w:val="28"/>
                <w:szCs w:val="28"/>
                <w:u w:val="none"/>
              </w:rPr>
              <w:t xml:space="preserve">; https://mtsr.nso.ru/page/1281). </w:t>
            </w:r>
          </w:p>
          <w:p>
            <w:pPr>
              <w:pStyle w:val="ConsPlusNormal1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  <w:p>
            <w:pPr>
              <w:pStyle w:val="ConsPlusNormal1"/>
              <w:jc w:val="both"/>
              <w:rPr>
                <w:rFonts w:ascii="Times New Roman" w:hAnsi="Times New Roman" w:eastAsia="Calibri" w:cs="Times New Roman"/>
                <w:sz w:val="28"/>
                <w:szCs w:val="28"/>
              </w:rPr>
            </w:pPr>
            <w:r>
              <w:rPr>
                <w:rFonts w:eastAsia="Calibri" w:cs="Times New Roman" w:ascii="Times New Roman" w:hAnsi="Times New Roman"/>
                <w:sz w:val="28"/>
                <w:szCs w:val="28"/>
              </w:rPr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4.5 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Опубликование нормативных правовых актов, регулирующих (затрагивающих) вопросы противодействия коррупции, в соответствии с </w:t>
            </w:r>
            <w:hyperlink r:id="rId3">
              <w:r>
                <w:rPr>
                  <w:rFonts w:ascii="Times New Roman" w:hAnsi="Times New Roman"/>
                  <w:color w:val="000000"/>
                  <w:sz w:val="28"/>
                  <w:szCs w:val="28"/>
                </w:rPr>
                <w:t>постановлением</w:t>
              </w:r>
            </w:hyperlink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Губернатора Новосибирской области от 16.05.2017 № 103 «Об утверждении Порядка опубликования нормативных правовых актов Губернатора Новосибирской области, Правительства Новосибирской области, областных исполнительных органов государственной власти Новосибирской области, иной официальной информации в сетевом издании «Официальный интернет-портал правовой информации Новосибирской области» (www.nsopravo.ru)»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Опубликовано 8 приказов министерства, регулирующих вопросы противодействия коррупции: </w:t>
            </w:r>
          </w:p>
          <w:p>
            <w:pPr>
              <w:pStyle w:val="ConsPlusNormal1"/>
              <w:shd w:val="clear" w:fill="FFFFFF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от 13.02.2024 № 225-НПА «О внесении изменений в приказ министерства труда и социального развития Новосибирской области от 18.01.2018 № 43»;</w:t>
            </w:r>
          </w:p>
          <w:p>
            <w:pPr>
              <w:pStyle w:val="ConsPlusNormal1"/>
              <w:shd w:val="clear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от 13.02.2024 № 224-НПА «О внесении изменений в приказ министерства труда и социального развития новосибирской области от 12.02.2018 № 136»;</w:t>
            </w:r>
          </w:p>
          <w:p>
            <w:pPr>
              <w:pStyle w:val="ConsPlusNormal1"/>
              <w:shd w:val="clear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от 01.03.2024 № 337-НПА «О внесении изменений в приказ министерства труда и социального развития Новосибирской области от 18.01.2018 № 43»;</w:t>
            </w:r>
          </w:p>
          <w:p>
            <w:pPr>
              <w:pStyle w:val="ConsPlusNormal1"/>
              <w:shd w:val="clear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от 21.03.2024 № 464-НПА «О внесении изменений в приказ министерства труда и социального развития Новосибирской области от 18.01.2018 № 43»;</w:t>
            </w:r>
          </w:p>
          <w:p>
            <w:pPr>
              <w:pStyle w:val="ConsPlusNormal1"/>
              <w:shd w:val="clear" w:fill="FFFFFF"/>
              <w:jc w:val="both"/>
              <w:rPr>
                <w:rFonts w:ascii="Times New Roman" w:hAnsi="Times New Roman" w:cs="Times New Roman"/>
                <w:sz w:val="28"/>
                <w:szCs w:val="28"/>
                <w:highlight w:val="white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highlight w:val="white"/>
                <w:lang w:eastAsia="en-US"/>
              </w:rPr>
              <w:t>от 22.04.2024 № 734-НПА «О внесении изменений в приказ министерства труда и социального развития Новосибирской области от 25.06.2020 № 570»;</w:t>
            </w:r>
          </w:p>
          <w:p>
            <w:pPr>
              <w:pStyle w:val="ConsPlusNormal1"/>
              <w:shd w:val="clear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от 19.06.2024 № 1342-НПА «О внесении изменений в отдельные приказы министерства труда и социального развития Новосибирской области»;</w:t>
            </w:r>
          </w:p>
          <w:p>
            <w:pPr>
              <w:pStyle w:val="ConsPlusNormal1"/>
              <w:shd w:val="clear" w:fill="FFFFFF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cs="Times New Roman" w:ascii="Times New Roman" w:hAnsi="Times New Roman"/>
                <w:sz w:val="28"/>
                <w:szCs w:val="28"/>
                <w:lang w:eastAsia="en-US"/>
              </w:rPr>
              <w:t>от 15.07.2024 № 1592-НПА «О внесении изменений в приказ министерства труда и социального развития Новосибирской области от 18.01.2018 № 43»;</w:t>
            </w:r>
          </w:p>
          <w:p>
            <w:pPr>
              <w:pStyle w:val="Normal"/>
              <w:spacing w:before="0" w:after="16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от 27.11.2024 № 2572-НПА «О внесении изменений в отдельные приказы министерства труда и социального развития Новосибирской области».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4.7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right="0" w:hanging="0"/>
              <w:jc w:val="both"/>
              <w:rPr/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Организация работы по фактам, указанным в </w:t>
            </w:r>
            <w:hyperlink r:id="rId4">
              <w:r>
                <w:rPr>
                  <w:rFonts w:ascii="Times New Roman" w:hAnsi="Times New Roman"/>
                  <w:b w:val="false"/>
                  <w:i w:val="false"/>
                  <w:strike w:val="false"/>
                  <w:dstrike w:val="false"/>
                  <w:color w:val="000000"/>
                  <w:sz w:val="28"/>
                  <w:szCs w:val="28"/>
                  <w:u w:val="none"/>
                </w:rPr>
                <w:t>пункте 4.6</w:t>
              </w:r>
            </w:hyperlink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Перечня мероприятий Программы (при наличии оснований)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отчетном периоде публикаций средств массовой информации по антикоррупционной проблематике на предмет выявления случаев проявления коррупции в министерстве не выявлено, меры реагирования не осуществлялись.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4.9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right="0" w:hanging="0"/>
              <w:jc w:val="both"/>
              <w:rPr>
                <w:rFonts w:ascii="Times New Roman" w:hAnsi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Обеспечение взаимодействия ОИОГВ НСО со средствами массовой информации, в том числе оказание содействия средствам массовой информации в освещении мер по противодействию коррупции, принимаемых ОИОГВ НСО, а также придании гласности фактов коррупции в данных органах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В 2024 году взаимодействие министерства со средствами массовой информации в освещении мер по противодействию коррупции не осуществлялось ввиду отсутствия фактов коррупции.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5.2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участия государственных гражданских служащих Новосибирской области, впервые поступивших на государственную службу, на должности, включенные в перечни должностей, установленные нормативными правовыми актами Новосибирской области, в мероприятиях по профессиональному развитию в области противодействия коррупции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2024 году 1 гражданский служащий министерства, </w:t>
            </w:r>
            <w:r>
              <w:rPr>
                <w:rFonts w:eastAsia="Calibri" w:cs="Times New Roman CYR" w:ascii="Times New Roman" w:hAnsi="Times New Roman"/>
                <w:sz w:val="28"/>
                <w:szCs w:val="28"/>
              </w:rPr>
              <w:t xml:space="preserve">впервые назначенный на должность, включенную в перечень </w:t>
            </w:r>
            <w:r>
              <w:rPr>
                <w:rFonts w:cs="Times New Roman CYR" w:ascii="Times New Roman" w:hAnsi="Times New Roman"/>
                <w:sz w:val="28"/>
                <w:szCs w:val="28"/>
              </w:rPr>
              <w:t xml:space="preserve">должностей, утвержденный приказом министерства от 25.06.2020 № 570, </w:t>
            </w:r>
            <w:r>
              <w:rPr>
                <w:rFonts w:eastAsia="Calibri" w:cs="Times New Roman CYR" w:ascii="Times New Roman" w:hAnsi="Times New Roman"/>
                <w:sz w:val="28"/>
                <w:szCs w:val="28"/>
              </w:rPr>
              <w:t>прошел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дистанционный курс по теме «Предотвращение и урегулирование конфликта интересов на государственной (муниципальной) службе».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5.4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участия государственных гражданских служащих Новосибирской области, в должностные обязанности которых входит участие в противодействии коррупции,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 2024 году 2 гражданских служащих министерства, в должностные обязанности которых входит участие в противодействии коррупции, прошли повышение квалификации по теме «Противодействие коррупции» и 1 гражданский служащий прошел повышение квалификации по теме «Противодействие коррупции в органах государственной власти и органах местного самоуправления».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5.5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ascii="Times New Roman" w:hAnsi="Times New Roman"/>
                <w:sz w:val="28"/>
                <w:szCs w:val="28"/>
              </w:rPr>
              <w:t>Обеспечение участия государственных гражданских служащих Новосибирской области, в должностные обязанности которых входит участие в проведении закупок товаров, работ и услуг для обеспечения государственных нужд, в мероприятиях по профессиональному развитию в области противодействия коррупции, в том числе их обучение по дополнительным профессиональным программам в области противодействия коррупции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jc w:val="both"/>
              <w:rPr/>
            </w:pP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В 2024 году 1 гражданский служащий министерства, 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 xml:space="preserve">в должностные обязанности которого входит 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>участие в проведении закупок товаров, работ и услуг для обеспечения государственных нужд</w:t>
            </w:r>
            <w:r>
              <w:rPr>
                <w:rFonts w:eastAsia="Calibri" w:ascii="Times New Roman" w:hAnsi="Times New Roman"/>
                <w:sz w:val="28"/>
                <w:szCs w:val="28"/>
              </w:rPr>
              <w:t>, прошел</w:t>
            </w:r>
            <w:r>
              <w:rPr>
                <w:rFonts w:cs="Times New Roman" w:ascii="Times New Roman" w:hAnsi="Times New Roman"/>
                <w:sz w:val="28"/>
                <w:szCs w:val="28"/>
              </w:rPr>
              <w:t xml:space="preserve"> повышение квалификации по теме «Основы профилактики коррупции в сфере закупок товаров, работ, услуг для обеспечения государственных и муниципальных нужд».</w:t>
            </w:r>
          </w:p>
        </w:tc>
      </w:tr>
      <w:tr>
        <w:trPr/>
        <w:tc>
          <w:tcPr>
            <w:tcW w:w="17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ConsPlusNormal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cs="Times New Roman" w:ascii="Times New Roman" w:hAnsi="Times New Roman"/>
                <w:sz w:val="28"/>
                <w:szCs w:val="28"/>
              </w:rPr>
              <w:t>5.6</w:t>
            </w:r>
          </w:p>
        </w:tc>
        <w:tc>
          <w:tcPr>
            <w:tcW w:w="65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i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>Организация ежегодного обучения работников государственных учреждений Новосибирской области и организаций, созданных для выполнения задач, поставленных перед исполнительными органами государственной власти Новосибирской области, по дополнительным профессиональным программам в области противодействия коррупции</w:t>
            </w:r>
          </w:p>
        </w:tc>
        <w:tc>
          <w:tcPr>
            <w:tcW w:w="697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spacing w:before="0" w:after="160"/>
              <w:ind w:left="0" w:right="0" w:hanging="0"/>
              <w:jc w:val="both"/>
              <w:rPr/>
            </w:pP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В 2024 году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kern w:val="0"/>
                <w:sz w:val="28"/>
                <w:szCs w:val="28"/>
                <w:u w:val="none"/>
                <w:lang w:val="ru-RU" w:eastAsia="en-US" w:bidi="ar-SA"/>
              </w:rPr>
              <w:t>77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 работников подведомственных министерству учреждений прошли </w:t>
            </w:r>
            <w:r>
              <w:rPr>
                <w:rFonts w:eastAsia="Calibri"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kern w:val="0"/>
                <w:sz w:val="28"/>
                <w:szCs w:val="28"/>
                <w:u w:val="none"/>
                <w:lang w:val="ru-RU" w:eastAsia="en-US" w:bidi="ar-SA"/>
              </w:rPr>
              <w:t>о</w:t>
            </w:r>
            <w:r>
              <w:rPr>
                <w:rFonts w:cs="Times New Roman" w:ascii="Times New Roman" w:hAnsi="Times New Roman"/>
                <w:b w:val="false"/>
                <w:i w:val="false"/>
                <w:strike w:val="false"/>
                <w:dstrike w:val="false"/>
                <w:color w:val="000000"/>
                <w:sz w:val="28"/>
                <w:szCs w:val="28"/>
                <w:u w:val="none"/>
              </w:rPr>
              <w:t xml:space="preserve">бучение по дополнительным профессиональным программам в области противодействия коррупции. </w:t>
            </w:r>
          </w:p>
        </w:tc>
      </w:tr>
    </w:tbl>
    <w:p>
      <w:pPr>
        <w:pStyle w:val="ConsPlusNormal1"/>
        <w:spacing w:lineRule="auto" w:line="240" w:before="220" w:after="0"/>
        <w:ind w:left="0" w:right="0" w:hanging="0"/>
        <w:jc w:val="both"/>
        <w:rPr>
          <w:rFonts w:ascii="Times New Roman" w:hAnsi="Times New Roman" w:eastAsia="Times New Roman" w:cs="Times New Roman"/>
          <w:sz w:val="24"/>
          <w:szCs w:val="24"/>
          <w:lang w:eastAsia="en-US"/>
        </w:rPr>
      </w:pPr>
      <w:r>
        <w:rPr/>
      </w:r>
    </w:p>
    <w:sectPr>
      <w:headerReference w:type="default" r:id="rId5"/>
      <w:type w:val="nextPage"/>
      <w:pgSz w:orient="landscape" w:w="16838" w:h="11906"/>
      <w:pgMar w:left="1418" w:right="567" w:header="709" w:top="1135" w:footer="0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Tahoma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Courier New"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31"/>
      <w:jc w:val="center"/>
      <w:rPr>
        <w:rFonts w:ascii="Times New Roman" w:hAnsi="Times New Roman"/>
        <w:sz w:val="20"/>
        <w:szCs w:val="20"/>
      </w:rPr>
    </w:pPr>
    <w:r>
      <w:rPr>
        <w:rFonts w:ascii="Times New Roman" w:hAnsi="Times New Roman"/>
        <w:sz w:val="20"/>
        <w:szCs w:val="20"/>
      </w:rPr>
      <w:fldChar w:fldCharType="begin"/>
    </w:r>
    <w:r>
      <w:rPr>
        <w:sz w:val="20"/>
        <w:szCs w:val="20"/>
        <w:rFonts w:ascii="Times New Roman" w:hAnsi="Times New Roman"/>
      </w:rPr>
      <w:instrText> PAGE </w:instrText>
    </w:r>
    <w:r>
      <w:rPr>
        <w:sz w:val="20"/>
        <w:szCs w:val="20"/>
        <w:rFonts w:ascii="Times New Roman" w:hAnsi="Times New Roman"/>
      </w:rPr>
      <w:fldChar w:fldCharType="separate"/>
    </w:r>
    <w:r>
      <w:rPr>
        <w:sz w:val="20"/>
        <w:szCs w:val="20"/>
        <w:rFonts w:ascii="Times New Roman" w:hAnsi="Times New Roman"/>
      </w:rPr>
      <w:t>0</w:t>
    </w:r>
    <w:r>
      <w:rPr>
        <w:sz w:val="20"/>
        <w:szCs w:val="20"/>
        <w:rFonts w:ascii="Times New Roman" w:hAnsi="Times New Roman"/>
      </w:rPr>
      <w:fldChar w:fldCharType="end"/>
    </w:r>
  </w:p>
</w:hdr>
</file>

<file path=word/settings.xml><?xml version="1.0" encoding="utf-8"?>
<w:settings xmlns:w="http://schemas.openxmlformats.org/wordprocessingml/2006/main">
  <w:zoom w:percent="140"/>
  <w:defaultTabStop w:val="720"/>
  <w:autoHyphenation w:val="true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Times New Roman"/>
        <w:sz w:val="20"/>
        <w:lang w:val="ru-RU" w:eastAsia="ru-RU" w:bidi="ar-SA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2">
    <w:name w:val="Heading 2"/>
    <w:basedOn w:val="Style24"/>
    <w:next w:val="Style25"/>
    <w:qFormat/>
    <w:pPr>
      <w:spacing w:before="200" w:after="120"/>
      <w:outlineLvl w:val="1"/>
    </w:pPr>
    <w:rPr>
      <w:rFonts w:ascii="Liberation Serif" w:hAnsi="Liberation Serif" w:eastAsia="DejaVu Sans" w:cs="DejaVu Sans"/>
      <w:b/>
      <w:bCs/>
      <w:sz w:val="36"/>
      <w:szCs w:val="36"/>
    </w:rPr>
  </w:style>
  <w:style w:type="paragraph" w:styleId="3">
    <w:name w:val="Heading 3"/>
    <w:basedOn w:val="Style24"/>
    <w:next w:val="Style25"/>
    <w:qFormat/>
    <w:pPr>
      <w:spacing w:before="140" w:after="120"/>
      <w:outlineLvl w:val="2"/>
    </w:pPr>
    <w:rPr>
      <w:rFonts w:ascii="Liberation Serif" w:hAnsi="Liberation Serif" w:eastAsia="DejaVu Sans" w:cs="DejaVu Sans"/>
      <w:b/>
      <w:bCs/>
      <w:sz w:val="28"/>
      <w:szCs w:val="28"/>
    </w:rPr>
  </w:style>
  <w:style w:type="character" w:styleId="DefaultParagraphFont">
    <w:name w:val="Default Paragraph Font"/>
    <w:qFormat/>
    <w:rPr/>
  </w:style>
  <w:style w:type="character" w:styleId="Style12">
    <w:name w:val="Текст выноски Знак"/>
    <w:qFormat/>
    <w:rPr>
      <w:rFonts w:ascii="Tahoma" w:hAnsi="Tahoma" w:cs="Tahoma"/>
      <w:sz w:val="16"/>
      <w:szCs w:val="16"/>
      <w:lang w:eastAsia="en-US"/>
    </w:rPr>
  </w:style>
  <w:style w:type="character" w:styleId="Annotationreference">
    <w:name w:val="annotation reference"/>
    <w:qFormat/>
    <w:rPr>
      <w:sz w:val="16"/>
      <w:szCs w:val="16"/>
    </w:rPr>
  </w:style>
  <w:style w:type="character" w:styleId="Style13">
    <w:name w:val="Текст примечания Знак"/>
    <w:qFormat/>
    <w:rPr>
      <w:lang w:eastAsia="en-US"/>
    </w:rPr>
  </w:style>
  <w:style w:type="character" w:styleId="Style14">
    <w:name w:val="Тема примечания Знак"/>
    <w:qFormat/>
    <w:rPr>
      <w:b/>
      <w:bCs/>
      <w:lang w:eastAsia="en-US"/>
    </w:rPr>
  </w:style>
  <w:style w:type="character" w:styleId="Style15">
    <w:name w:val="Верхний колонтитул Знак"/>
    <w:qFormat/>
    <w:rPr>
      <w:sz w:val="22"/>
      <w:szCs w:val="22"/>
      <w:lang w:eastAsia="en-US"/>
    </w:rPr>
  </w:style>
  <w:style w:type="character" w:styleId="Style16">
    <w:name w:val="Нижний колонтитул Знак"/>
    <w:qFormat/>
    <w:rPr>
      <w:sz w:val="22"/>
      <w:szCs w:val="22"/>
      <w:lang w:eastAsia="en-US"/>
    </w:rPr>
  </w:style>
  <w:style w:type="character" w:styleId="Style17">
    <w:name w:val="Основной текст Знак"/>
    <w:basedOn w:val="DefaultParagraphFont"/>
    <w:qFormat/>
    <w:rPr>
      <w:rFonts w:ascii="Times New Roman" w:hAnsi="Times New Roman" w:eastAsia="Times New Roman"/>
      <w:color w:val="000000"/>
      <w:sz w:val="24"/>
      <w:lang w:eastAsia="ar-SA"/>
    </w:rPr>
  </w:style>
  <w:style w:type="character" w:styleId="Style18">
    <w:name w:val="Текст сноски Знак"/>
    <w:basedOn w:val="DefaultParagraphFont"/>
    <w:qFormat/>
    <w:rPr>
      <w:lang w:eastAsia="en-US"/>
    </w:rPr>
  </w:style>
  <w:style w:type="character" w:styleId="Style19">
    <w:name w:val="Привязка сноски"/>
    <w:rPr>
      <w:vertAlign w:val="superscript"/>
    </w:rPr>
  </w:style>
  <w:style w:type="character" w:styleId="FootnoteCharacters">
    <w:name w:val="Footnote Characters"/>
    <w:basedOn w:val="DefaultParagraphFont"/>
    <w:qFormat/>
    <w:rPr>
      <w:vertAlign w:val="superscript"/>
    </w:rPr>
  </w:style>
  <w:style w:type="character" w:styleId="ConsPlusNormal">
    <w:name w:val="ConsPlusNormal Знак"/>
    <w:qFormat/>
    <w:rPr>
      <w:rFonts w:ascii="Arial" w:hAnsi="Arial" w:eastAsia="Times New Roman" w:cs="Arial"/>
    </w:rPr>
  </w:style>
  <w:style w:type="character" w:styleId="Style20">
    <w:name w:val="Интернет-ссылка"/>
    <w:rPr>
      <w:color w:val="000080"/>
      <w:u w:val="single"/>
    </w:rPr>
  </w:style>
  <w:style w:type="character" w:styleId="Extendedtextshort">
    <w:name w:val="extended-text__short"/>
    <w:basedOn w:val="DefaultParagraphFont"/>
    <w:qFormat/>
    <w:rPr/>
  </w:style>
  <w:style w:type="character" w:styleId="275pt">
    <w:name w:val="Основной текст (2) + 7;5 pt"/>
    <w:basedOn w:val="DefaultParagraphFont"/>
    <w:qFormat/>
    <w:rPr>
      <w:rFonts w:ascii="Times New Roman" w:hAnsi="Times New Roman" w:eastAsia="Times New Roman" w:cs="Times New Roman"/>
      <w:b w:val="false"/>
      <w:bCs w:val="false"/>
      <w:i w:val="false"/>
      <w:iCs w:val="false"/>
      <w:caps w:val="false"/>
      <w:smallCaps w:val="false"/>
      <w:strike w:val="false"/>
      <w:dstrike w:val="false"/>
      <w:color w:val="000000"/>
      <w:spacing w:val="0"/>
      <w:w w:val="100"/>
      <w:sz w:val="15"/>
      <w:szCs w:val="15"/>
      <w:u w:val="none"/>
      <w:lang w:val="ru-RU" w:eastAsia="ru-RU" w:bidi="ru-RU"/>
    </w:rPr>
  </w:style>
  <w:style w:type="character" w:styleId="Style21">
    <w:name w:val="Маркеры списка"/>
    <w:qFormat/>
    <w:rPr>
      <w:rFonts w:ascii="OpenSymbol" w:hAnsi="OpenSymbol" w:eastAsia="OpenSymbol" w:cs="OpenSymbol"/>
    </w:rPr>
  </w:style>
  <w:style w:type="character" w:styleId="Style22">
    <w:name w:val="Основной шрифт абзаца"/>
    <w:qFormat/>
    <w:rPr/>
  </w:style>
  <w:style w:type="character" w:styleId="Highlightcolor">
    <w:name w:val="highlightcolor"/>
    <w:basedOn w:val="DefaultParagraphFont"/>
    <w:qFormat/>
    <w:rPr/>
  </w:style>
  <w:style w:type="character" w:styleId="Style23">
    <w:name w:val="Выделение жирным"/>
    <w:qFormat/>
    <w:rPr>
      <w:b/>
      <w:bCs/>
    </w:rPr>
  </w:style>
  <w:style w:type="paragraph" w:styleId="Style24">
    <w:name w:val="Заголовок"/>
    <w:basedOn w:val="Normal"/>
    <w:next w:val="Style25"/>
    <w:qFormat/>
    <w:pPr>
      <w:keepNext w:val="true"/>
      <w:spacing w:before="240" w:after="120"/>
    </w:pPr>
    <w:rPr>
      <w:rFonts w:ascii="Liberation Sans" w:hAnsi="Liberation Sans" w:eastAsia="Droid Sans Fallback" w:cs="Droid Sans Devanagari"/>
      <w:sz w:val="28"/>
      <w:szCs w:val="28"/>
    </w:rPr>
  </w:style>
  <w:style w:type="paragraph" w:styleId="Style25">
    <w:name w:val="Body Text"/>
    <w:basedOn w:val="Normal"/>
    <w:pPr>
      <w:suppressAutoHyphens w:val="true"/>
      <w:spacing w:lineRule="auto" w:line="240" w:before="0" w:after="0"/>
      <w:ind w:left="0" w:right="0" w:firstLine="709"/>
      <w:jc w:val="both"/>
    </w:pPr>
    <w:rPr>
      <w:rFonts w:ascii="Times New Roman" w:hAnsi="Times New Roman" w:eastAsia="Times New Roman"/>
      <w:color w:val="000000"/>
      <w:sz w:val="24"/>
      <w:szCs w:val="20"/>
      <w:lang w:eastAsia="ar-SA"/>
    </w:rPr>
  </w:style>
  <w:style w:type="paragraph" w:styleId="Style26">
    <w:name w:val="List"/>
    <w:basedOn w:val="Style25"/>
    <w:pPr/>
    <w:rPr>
      <w:rFonts w:cs="Droid Sans Devanagari"/>
    </w:rPr>
  </w:style>
  <w:style w:type="paragraph" w:styleId="Style27">
    <w:name w:val="Caption"/>
    <w:basedOn w:val="Normal"/>
    <w:qFormat/>
    <w:pPr>
      <w:suppressLineNumbers/>
      <w:spacing w:before="120" w:after="120"/>
    </w:pPr>
    <w:rPr>
      <w:rFonts w:cs="Droid Sans Devanagari"/>
      <w:i/>
      <w:iCs/>
      <w:sz w:val="24"/>
      <w:szCs w:val="24"/>
    </w:rPr>
  </w:style>
  <w:style w:type="paragraph" w:styleId="Style28">
    <w:name w:val="Указатель"/>
    <w:basedOn w:val="Normal"/>
    <w:qFormat/>
    <w:pPr>
      <w:suppressLineNumbers/>
    </w:pPr>
    <w:rPr>
      <w:rFonts w:cs="Droid Sans Devanagari"/>
    </w:rPr>
  </w:style>
  <w:style w:type="paragraph" w:styleId="BalloonText">
    <w:name w:val="Balloon Text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qFormat/>
    <w:pPr/>
    <w:rPr>
      <w:sz w:val="20"/>
      <w:szCs w:val="20"/>
    </w:rPr>
  </w:style>
  <w:style w:type="paragraph" w:styleId="Annotationsubject">
    <w:name w:val="annotation subject"/>
    <w:basedOn w:val="Annotationtext"/>
    <w:next w:val="Annotationtext"/>
    <w:qFormat/>
    <w:pPr/>
    <w:rPr>
      <w:b/>
      <w:bCs/>
    </w:rPr>
  </w:style>
  <w:style w:type="paragraph" w:styleId="ConsPlusNormal1">
    <w:name w:val="ConsPlus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Arial" w:hAnsi="Arial" w:eastAsia="Times New Roman" w:cs="Arial"/>
      <w:color w:val="auto"/>
      <w:kern w:val="0"/>
      <w:sz w:val="22"/>
      <w:szCs w:val="20"/>
      <w:lang w:val="ru-RU" w:eastAsia="ru-RU" w:bidi="ar-SA"/>
    </w:rPr>
  </w:style>
  <w:style w:type="paragraph" w:styleId="Style29">
    <w:name w:val="Обычный + по ширине"/>
    <w:basedOn w:val="Normal"/>
    <w:qFormat/>
    <w:pPr>
      <w:spacing w:lineRule="auto" w:line="240" w:before="0" w:after="0"/>
      <w:jc w:val="both"/>
    </w:pPr>
    <w:rPr>
      <w:rFonts w:ascii="Times New Roman" w:hAnsi="Times New Roman" w:eastAsia="Times New Roman"/>
      <w:sz w:val="24"/>
      <w:szCs w:val="24"/>
      <w:lang w:eastAsia="ru-RU"/>
    </w:rPr>
  </w:style>
  <w:style w:type="paragraph" w:styleId="ConsPlusNonformat">
    <w:name w:val="ConsPlusNonformat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ourier New" w:hAnsi="Courier New" w:eastAsia="Times New Roman" w:cs="Courier New"/>
      <w:color w:val="auto"/>
      <w:kern w:val="0"/>
      <w:sz w:val="22"/>
      <w:szCs w:val="20"/>
      <w:lang w:val="ru-RU" w:eastAsia="ru-RU" w:bidi="ar-SA"/>
    </w:rPr>
  </w:style>
  <w:style w:type="paragraph" w:styleId="ConsPlusCell">
    <w:name w:val="ConsPlusCell"/>
    <w:qFormat/>
    <w:pPr>
      <w:widowControl w:val="false"/>
      <w:suppressAutoHyphens w:val="true"/>
      <w:overflowPunct w:val="true"/>
      <w:bidi w:val="0"/>
      <w:spacing w:before="0" w:after="0"/>
      <w:jc w:val="left"/>
    </w:pPr>
    <w:rPr>
      <w:rFonts w:ascii="Calibri" w:hAnsi="Calibri" w:eastAsia="Times New Roman" w:cs="Calibri"/>
      <w:color w:val="auto"/>
      <w:kern w:val="0"/>
      <w:sz w:val="22"/>
      <w:szCs w:val="22"/>
      <w:lang w:val="ru-RU" w:eastAsia="ru-RU" w:bidi="ar-SA"/>
    </w:rPr>
  </w:style>
  <w:style w:type="paragraph" w:styleId="Style30">
    <w:name w:val="Верхний и нижний колонтитулы"/>
    <w:basedOn w:val="Normal"/>
    <w:qFormat/>
    <w:pPr/>
    <w:rPr/>
  </w:style>
  <w:style w:type="paragraph" w:styleId="Style31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2">
    <w:name w:val="Foot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ListParagraph">
    <w:name w:val="List Paragraph"/>
    <w:basedOn w:val="Normal"/>
    <w:qFormat/>
    <w:pPr>
      <w:spacing w:before="0" w:after="200"/>
      <w:ind w:left="720" w:right="0" w:hanging="0"/>
      <w:contextualSpacing/>
    </w:pPr>
    <w:rPr/>
  </w:style>
  <w:style w:type="paragraph" w:styleId="Revision">
    <w:name w:val="Revision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Calibri" w:hAnsi="Calibri" w:eastAsia="Calibri" w:cs="Times New Roman"/>
      <w:color w:val="auto"/>
      <w:kern w:val="0"/>
      <w:sz w:val="22"/>
      <w:szCs w:val="22"/>
      <w:lang w:val="ru-RU" w:eastAsia="en-US" w:bidi="ar-SA"/>
    </w:rPr>
  </w:style>
  <w:style w:type="paragraph" w:styleId="Style33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Style34">
    <w:name w:val="Содержимое таблицы"/>
    <w:basedOn w:val="Normal"/>
    <w:qFormat/>
    <w:pPr>
      <w:suppressLineNumbers/>
    </w:pPr>
    <w:rPr/>
  </w:style>
  <w:style w:type="paragraph" w:styleId="NormalWeb">
    <w:name w:val="Normal (Web)"/>
    <w:basedOn w:val="Normal"/>
    <w:qFormat/>
    <w:pPr>
      <w:spacing w:lineRule="auto" w:line="240" w:before="0" w:after="0"/>
      <w:ind w:left="0" w:right="0" w:firstLine="709"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Style35">
    <w:name w:val="Заголовок таблицы"/>
    <w:basedOn w:val="Style34"/>
    <w:qFormat/>
    <w:pPr>
      <w:suppressLineNumbers/>
      <w:jc w:val="center"/>
    </w:pPr>
    <w:rPr>
      <w:b/>
      <w:bCs/>
    </w:rPr>
  </w:style>
  <w:style w:type="paragraph" w:styleId="31">
    <w:name w:val="Основной текст (3)"/>
    <w:basedOn w:val="Normal"/>
    <w:qFormat/>
    <w:pPr>
      <w:widowControl w:val="false"/>
      <w:shd w:val="clear" w:fill="FFFFFF"/>
      <w:spacing w:lineRule="exact" w:line="259" w:before="0" w:after="0"/>
      <w:jc w:val="center"/>
    </w:pPr>
    <w:rPr>
      <w:rFonts w:ascii="Times New Roman" w:hAnsi="Times New Roman" w:eastAsia="Times New Roman" w:cs="Times New Roman"/>
      <w:b/>
      <w:bCs/>
    </w:rPr>
  </w:style>
  <w:style w:type="paragraph" w:styleId="21">
    <w:name w:val="Список 2"/>
    <w:basedOn w:val="Normal"/>
    <w:qFormat/>
    <w:pPr>
      <w:spacing w:lineRule="auto" w:line="240" w:before="0" w:after="60"/>
      <w:ind w:left="566" w:right="0" w:hanging="283"/>
      <w:contextualSpacing/>
      <w:jc w:val="both"/>
    </w:pPr>
    <w:rPr>
      <w:rFonts w:ascii="Times New Roman" w:hAnsi="Times New Roman" w:eastAsia="Times New Roman" w:cs="Times New Roman"/>
      <w:sz w:val="24"/>
      <w:szCs w:val="24"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Calibri" w:hAnsi="Calibri" w:eastAsia="Times New Roman" w:cs="Times New Roman"/>
      <w:color w:val="00000A"/>
      <w:kern w:val="0"/>
      <w:sz w:val="24"/>
      <w:szCs w:val="24"/>
      <w:lang w:val="ru-RU" w:eastAsia="zh-CN" w:bidi="ar-SA"/>
    </w:rPr>
  </w:style>
  <w:style w:type="paragraph" w:styleId="Standard">
    <w:name w:val="Standard"/>
    <w:qFormat/>
    <w:pPr>
      <w:keepNext w:val="false"/>
      <w:keepLines w:val="false"/>
      <w:pageBreakBefore w:val="false"/>
      <w:widowControl/>
      <w:suppressAutoHyphens w:val="true"/>
      <w:overflowPunct w:val="true"/>
      <w:bidi w:val="0"/>
      <w:spacing w:lineRule="auto" w:line="240" w:before="0" w:after="0"/>
      <w:ind w:left="0" w:right="0" w:hanging="0"/>
      <w:jc w:val="left"/>
    </w:pPr>
    <w:rPr>
      <w:rFonts w:ascii="Calibri" w:hAnsi="Calibri" w:eastAsia="Calibri" w:cs="Times New Roman"/>
      <w:b w:val="false"/>
      <w:bCs w:val="false"/>
      <w:i w:val="false"/>
      <w:iCs w:val="false"/>
      <w:caps w:val="false"/>
      <w:smallCaps w:val="false"/>
      <w:strike w:val="false"/>
      <w:dstrike w:val="false"/>
      <w:vanish w:val="false"/>
      <w:color w:val="auto"/>
      <w:spacing w:val="0"/>
      <w:kern w:val="0"/>
      <w:position w:val="0"/>
      <w:sz w:val="22"/>
      <w:sz w:val="22"/>
      <w:szCs w:val="22"/>
      <w:u w:val="none"/>
      <w:vertAlign w:val="baseline"/>
      <w:lang w:val="ru-RU" w:eastAsia="en-US" w:bidi="ar-SA"/>
    </w:rPr>
  </w:style>
  <w:style w:type="numbering" w:styleId="NoList">
    <w:name w:val="No List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mtsr.nso.ru/page/1293" TargetMode="External"/><Relationship Id="rId3" Type="http://schemas.openxmlformats.org/officeDocument/2006/relationships/hyperlink" Target="https://login.consultant.ru/link/?req=doc&amp;base=RLAW049&amp;n=164109" TargetMode="External"/><Relationship Id="rId4" Type="http://schemas.openxmlformats.org/officeDocument/2006/relationships/hyperlink" Target="https://login.consultant.ru/link/?req=doc&amp;base=RLAW049&amp;n=143136&amp;dst=100394" TargetMode="External"/><Relationship Id="rId5" Type="http://schemas.openxmlformats.org/officeDocument/2006/relationships/header" Target="header1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1170</TotalTime>
  <Application>LibreOffice/6.4.7.2$Linux_X86_64 LibreOffice_project/40$Build-2</Application>
  <Pages>31</Pages>
  <Words>5725</Words>
  <Characters>43953</Characters>
  <CharactersWithSpaces>49645</CharactersWithSpaces>
  <Paragraphs>188</Paragraphs>
  <Company>КонсультантПлюс Версия 4023.00.09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2023-09-12T11:13:00Z</dcterms:created>
  <dc:creator>Жигулина Лариса Александровна</dc:creator>
  <dc:description/>
  <dc:language>ru-RU</dc:language>
  <cp:lastModifiedBy/>
  <cp:lastPrinted>2025-01-15T14:41:30Z</cp:lastPrinted>
  <dcterms:modified xsi:type="dcterms:W3CDTF">2025-01-15T15:09:47Z</dcterms:modified>
  <cp:revision>81</cp:revision>
  <dc:subject/>
  <dc:title>Приказ Минтруда и соцразвития Новосибирской области от 29.03.2023 N 371-НПА(ред. от 28.07.2023)"Об утверждении Плана реализации мероприятий государственной программы Новосибирской области на очередной 2023 год"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КонсультантПлюс Версия 4023.00.09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