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sdt>
      <w:sdtPr>
        <w15:appearance w15:val="boundingBox"/>
        <w:id w:val="654512292"/>
        <w:docPartObj>
          <w:docPartGallery w:val="Cover Pages"/>
          <w:docPartUnique w:val="true"/>
        </w:docPartObj>
        <w:rPr/>
      </w:sdtPr>
      <w:sdtContent>
        <w:p>
          <w:r/>
          <w:bookmarkStart w:id="0" w:name="_Toc530899154"/>
          <w:r/>
          <w:bookmarkStart w:id="1" w:name="_Toc532203111"/>
          <w:r/>
          <w:r/>
        </w:p>
        <w:p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164070" cy="10142220"/>
                    <wp:effectExtent l="8255" t="10160" r="9525" b="10795"/>
                    <wp:wrapNone/>
                    <wp:docPr id="1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7164070" cy="10142220"/>
                              <a:chOff x="321" y="411"/>
                              <a:chExt cx="11600" cy="15018"/>
                            </a:xfrm>
                          </wpg:grpSpPr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1" y="411"/>
                                <a:ext cx="11600" cy="1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444"/>
                                <a:ext cx="11527" cy="1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784"/>
                                    <w:rPr>
                                      <w:smallCap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mallCap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r>
                                  <w:r>
                                    <w:rPr>
                                      <w:smallCap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  <wps:wsp>
                            <wps:cNvPr id="2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5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37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alias w:val="Год"/>
                                    <w15:appearance w15:val="boundingBox"/>
                                    <w:id w:val="415670410"/>
                                    <w:date w:fullDate="2026-01-01T00:00:00Z">
                                      <w:calendar w:val="gregorian"/>
                                      <w:dateFormat w:val="yyyy"/>
                                      <w:lid w:val="ru-RU"/>
                                    </w:date>
                                    <w:rPr>
                                      <w:rFonts w:asciiTheme="majorHAnsi" w:hAnsiTheme="majorHAnsi" w:eastAsiaTheme="majorEastAsia" w:cstheme="majorBidi"/>
                                      <w:color w:val="e5f5d7" w:themeColor="accent1" w:themeTint="33"/>
                                      <w:sz w:val="56"/>
                                      <w:szCs w:val="56"/>
                                    </w:rPr>
                                  </w:sdtPr>
                                  <w:sdtContent>
                                    <w:p>
                                      <w:pPr>
                                        <w:pStyle w:val="784"/>
                                        <w:rPr>
                                          <w:rFonts w:asciiTheme="majorHAnsi" w:hAnsiTheme="majorHAnsi" w:eastAsiaTheme="majorEastAsia" w:cstheme="majorBidi"/>
                                          <w:color w:val="e5f5d7" w:themeColor="accent1" w:themeTint="33"/>
                                          <w:sz w:val="56"/>
                                          <w:szCs w:val="56"/>
                                        </w:rPr>
                                      </w:pPr>
                                      <w:r>
                                        <w:rPr>
                                          <w:rFonts w:asciiTheme="majorHAnsi" w:hAnsiTheme="majorHAnsi" w:eastAsiaTheme="majorEastAsia" w:cstheme="majorBidi"/>
                                          <w:color w:val="e5f5d7" w:themeColor="accent1" w:themeTint="33"/>
                                          <w:sz w:val="56"/>
                                          <w:szCs w:val="56"/>
                                        </w:rPr>
                                        <w:t xml:space="preserve">2026</w:t>
                                      </w:r>
                                      <w:r>
                                        <w:rPr>
                                          <w:rFonts w:asciiTheme="majorHAnsi" w:hAnsiTheme="majorHAnsi" w:eastAsiaTheme="majorEastAsia" w:cstheme="majorBidi"/>
                                          <w:color w:val="e5f5d7" w:themeColor="accent1" w:themeTint="33"/>
                                          <w:sz w:val="56"/>
                                          <w:szCs w:val="56"/>
                                        </w:rPr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2263"/>
                                <a:ext cx="8643" cy="7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alias w:val="Заголовок"/>
                                    <w15:appearance w15:val="boundingBox"/>
                                    <w:id w:val="554662169"/>
                                    <w:rPr>
                                      <w:b/>
                                      <w:color w:val="2c3f71" w:themeColor="accent5" w:themeShade="80"/>
                                      <w:sz w:val="40"/>
                                      <w:szCs w:val="40"/>
                                    </w:rPr>
                                  </w:sdtPr>
                                  <w:sdtContent>
                                    <w:p>
                                      <w:pPr>
                                        <w:jc w:val="center"/>
                                        <w:rPr>
                                          <w:rFonts w:asciiTheme="majorHAnsi" w:hAnsiTheme="majorHAnsi" w:eastAsiaTheme="majorEastAsia" w:cstheme="majorBidi"/>
                                          <w:color w:val="2c3f71" w:themeColor="accent5" w:themeShade="80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2c3f71" w:themeColor="accent5" w:themeShade="80"/>
                                          <w:sz w:val="40"/>
                                          <w:szCs w:val="40"/>
                                        </w:rPr>
                                        <w:t xml:space="preserve">Программа</w:t>
                                      </w:r>
                                      <w:r>
                                        <w:rPr>
                                          <w:rFonts w:asciiTheme="majorHAnsi" w:hAnsiTheme="majorHAnsi" w:eastAsiaTheme="majorEastAsia" w:cstheme="majorBidi"/>
                                          <w:color w:val="2c3f71" w:themeColor="accent5" w:themeShade="80"/>
                                          <w:sz w:val="40"/>
                                          <w:szCs w:val="40"/>
                                        </w:rPr>
                                      </w:r>
                                    </w:p>
                                  </w:sdtContent>
                                </w:sdt>
                                <w:p>
                                  <w:pPr>
                                    <w:contextualSpacing/>
                                    <w:jc w:val="right"/>
                                    <w:keepNext/>
                                    <w:spacing w:after="240" w:line="240" w:lineRule="atLeast"/>
                                    <w:widowControl w:val="off"/>
                                    <w:rPr>
                                      <w:rFonts w:ascii="Times New Roman CYR" w:hAnsi="Times New Roman CYR"/>
                                      <w:b/>
                                      <w:i/>
                                      <w:color w:val="2c3f71" w:themeColor="accent5" w:themeShade="80"/>
                                      <w:sz w:val="32"/>
                                      <w:szCs w:val="32"/>
                                    </w:rPr>
                                    <w:outlineLvl w:val="0"/>
                                  </w:pPr>
                                  <w:r>
                                    <w:rPr>
                                      <w:rFonts w:ascii="Times New Roman CYR" w:hAnsi="Times New Roman CYR"/>
                                      <w:b/>
                                      <w:i/>
                                      <w:color w:val="2c3f71" w:themeColor="accent5" w:themeShade="80"/>
                                      <w:sz w:val="32"/>
                                      <w:szCs w:val="32"/>
                                    </w:rPr>
                                  </w:r>
                                  <w:r>
                                    <w:rPr>
                                      <w:rFonts w:ascii="Times New Roman CYR" w:hAnsi="Times New Roman CYR"/>
                                      <w:b/>
                                      <w:i/>
                                      <w:color w:val="2c3f71" w:themeColor="accent5" w:themeShade="80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по сбору и обобщению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информации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ind w:firstLine="708"/>
                                    <w:jc w:val="center"/>
                                    <w:rPr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 качестве условий оказания услуг организациями социального обслуживания Новосибирской области, получаемой в целях проведения независимой оценки качества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ind w:firstLine="708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color w:val="4e5b6f" w:themeColor="text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4e5b6f" w:themeColor="text2"/>
                                      <w:sz w:val="24"/>
                                      <w:szCs w:val="24"/>
                                    </w:rPr>
                                    <w:t xml:space="preserve">Государственный контракт №0851200000626002185</w:t>
                                  </w:r>
                                  <w:r>
                                    <w:rPr>
                                      <w:color w:val="4e5b6f" w:themeColor="text2"/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color w:val="4e5b6f" w:themeColor="text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4e5b6f" w:themeColor="text2"/>
                                      <w:sz w:val="24"/>
                                      <w:szCs w:val="24"/>
                                    </w:rPr>
                                    <w:t xml:space="preserve">от 04</w:t>
                                  </w:r>
                                  <w:r>
                                    <w:rPr>
                                      <w:color w:val="4e5b6f" w:themeColor="text2"/>
                                      <w:sz w:val="24"/>
                                      <w:szCs w:val="24"/>
                                    </w:rPr>
                                    <w:t xml:space="preserve">.05.2026</w:t>
                                  </w:r>
                                  <w:bookmarkStart w:id="2" w:name="_GoBack"/>
                                  <w:r/>
                                  <w:bookmarkEnd w:id="2"/>
                                  <w:r/>
                                  <w:r>
                                    <w:rPr>
                                      <w:color w:val="4e5b6f" w:themeColor="text2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  <wps:wsp>
                            <wps:cNvPr id="7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2263"/>
                                <a:ext cx="2859" cy="7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10710"/>
                                <a:ext cx="8643" cy="39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10710"/>
                                <a:ext cx="2859" cy="39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14677"/>
                                <a:ext cx="11527" cy="7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alias w:val="Адрес"/>
                                    <w15:appearance w15:val="boundingBox"/>
                                    <w:id w:val="-30798927"/>
                                    <w:rPr>
                                      <w:smallCaps/>
                                      <w:color w:val="ffffff" w:themeColor="background1"/>
                                      <w:spacing w:val="60"/>
                                      <w:sz w:val="28"/>
                                      <w:szCs w:val="28"/>
                                    </w:rPr>
                                  </w:sdtPr>
                                  <w:sdtContent>
                                    <w:p>
                                      <w:pPr>
                                        <w:pStyle w:val="784"/>
                                        <w:jc w:val="center"/>
                                        <w:rPr>
                                          <w:smallCaps/>
                                          <w:color w:val="ffffff" w:themeColor="background1"/>
                                          <w:spacing w:val="60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smallCaps/>
                                          <w:color w:val="ffffff" w:themeColor="background1"/>
                                          <w:spacing w:val="60"/>
                                          <w:sz w:val="28"/>
                                          <w:szCs w:val="28"/>
                                        </w:rPr>
                                        <w:t xml:space="preserve">г. Новосибирск</w:t>
                                      </w:r>
                                      <w:r>
                                        <w:rPr>
                                          <w:smallCaps/>
                                          <w:color w:val="ffffff" w:themeColor="background1"/>
                                          <w:spacing w:val="60"/>
                                          <w:sz w:val="28"/>
                                          <w:szCs w:val="28"/>
                                        </w:rPr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group 0" o:spid="_x0000_s0000" style="position:absolute;z-index:251660288;o:allowoverlap:true;o:allowincell:false;mso-position-horizontal-relative:page;mso-position-horizontal:center;mso-position-vertical-relative:page;mso-position-vertical:center;width:564.10pt;height:798.60pt;mso-wrap-distance-left:9.00pt;mso-wrap-distance-top:0.00pt;mso-wrap-distance-right:9.00pt;mso-wrap-distance-bottom:0.00pt;" coordorigin="3,4" coordsize="116,150">
                    <v:shape id="shape 1" o:spid="_x0000_s1" o:spt="1" type="#_x0000_t1" style="position:absolute;left:3;top:4;width:116;height:150;visibility:visible;" fillcolor="#FFFFFF" strokecolor="#000000" strokeweight="0.75pt"/>
                    <v:shape id="shape 2" o:spid="_x0000_s2" o:spt="1" type="#_x0000_t1" style="position:absolute;left:3;top:4;width:115;height:17;v-text-anchor:middle;visibility:visible;" fillcolor="#128473" stroked="f">
                      <v:textbox inset="0,0,0,0">
                        <w:txbxContent>
                          <w:p>
                            <w:pPr>
                              <w:pStyle w:val="784"/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</w:r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</w:r>
                          </w:p>
                        </w:txbxContent>
                      </v:textbox>
                    </v:shape>
                    <v:shape id="shape 3" o:spid="_x0000_s3" o:spt="1" type="#_x0000_t1" style="position:absolute;left:3;top:96;width:28;height:10;visibility:visible;" fillcolor="#AE0E5A" stroked="f"/>
                    <v:shape id="shape 4" o:spid="_x0000_s4" o:spt="1" type="#_x0000_t1" style="position:absolute;left:32;top:96;width:28;height:10;visibility:visible;" fillcolor="#AE0E5A" stroked="f"/>
                    <v:shape id="shape 5" o:spid="_x0000_s5" o:spt="1" type="#_x0000_t1" style="position:absolute;left:61;top:96;width:28;height:10;visibility:visible;" fillcolor="#AE0E5A" stroked="f"/>
                    <v:shape id="shape 6" o:spid="_x0000_s6" o:spt="1" type="#_x0000_t1" style="position:absolute;left:90;top:96;width:28;height:10;v-text-anchor:middle;visibility:visible;" fillcolor="#AE0E5A" stroked="f">
                      <v:textbox inset="0,0,0,0">
                        <w:txbxContent>
                          <w:sdt>
                            <w:sdtPr>
                              <w:alias w:val="Год"/>
                              <w15:appearance w15:val="boundingBox"/>
                              <w:id w:val="415670410"/>
                              <w:date w:fullDate="2026-01-01T00:00:00Z">
                                <w:calendar w:val="gregorian"/>
                                <w:dateFormat w:val="yyyy"/>
                                <w:lid w:val="ru-RU"/>
                              </w:date>
                              <w:rPr>
                                <w:rFonts w:asciiTheme="majorHAnsi" w:hAnsiTheme="majorHAnsi" w:eastAsiaTheme="majorEastAsia" w:cstheme="majorBidi"/>
                                <w:color w:val="e5f5d7" w:themeColor="accent1" w:themeTint="33"/>
                                <w:sz w:val="56"/>
                                <w:szCs w:val="56"/>
                              </w:rPr>
                            </w:sdtPr>
                            <w:sdtContent>
                              <w:p>
                                <w:pPr>
                                  <w:pStyle w:val="784"/>
                                  <w:rPr>
                                    <w:rFonts w:asciiTheme="majorHAnsi" w:hAnsiTheme="majorHAnsi" w:eastAsiaTheme="majorEastAsia" w:cstheme="majorBidi"/>
                                    <w:color w:val="e5f5d7" w:themeColor="accent1" w:themeTint="33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Theme="majorHAnsi" w:hAnsiTheme="majorHAnsi" w:eastAsiaTheme="majorEastAsia" w:cstheme="majorBidi"/>
                                    <w:color w:val="e5f5d7" w:themeColor="accent1" w:themeTint="33"/>
                                    <w:sz w:val="56"/>
                                    <w:szCs w:val="56"/>
                                  </w:rPr>
                                  <w:t xml:space="preserve">2026</w:t>
                                </w:r>
                                <w:r>
                                  <w:rPr>
                                    <w:rFonts w:asciiTheme="majorHAnsi" w:hAnsiTheme="majorHAnsi" w:eastAsiaTheme="majorEastAsia" w:cstheme="majorBidi"/>
                                    <w:color w:val="e5f5d7" w:themeColor="accent1" w:themeTint="33"/>
                                    <w:sz w:val="56"/>
                                    <w:szCs w:val="56"/>
                                  </w:rPr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shape 7" o:spid="_x0000_s7" o:spt="1" type="#_x0000_t1" style="position:absolute;left:3;top:22;width:86;height:73;v-text-anchor:middle;visibility:visible;" fillcolor="#5BE7D2" stroked="f">
                      <v:textbox inset="0,0,0,0">
                        <w:txbxContent>
                          <w:sdt>
                            <w:sdtPr>
                              <w:alias w:val="Заголовок"/>
                              <w15:appearance w15:val="boundingBox"/>
                              <w:id w:val="554662169"/>
                              <w:rPr>
                                <w:b/>
                                <w:color w:val="2c3f71" w:themeColor="accent5" w:themeShade="80"/>
                                <w:sz w:val="40"/>
                                <w:szCs w:val="40"/>
                              </w:rPr>
                            </w:sdtPr>
                            <w:sdtContent>
                              <w:p>
                                <w:pPr>
                                  <w:jc w:val="center"/>
                                  <w:rPr>
                                    <w:rFonts w:asciiTheme="majorHAnsi" w:hAnsiTheme="majorHAnsi" w:eastAsiaTheme="majorEastAsia" w:cstheme="majorBidi"/>
                                    <w:color w:val="2c3f71" w:themeColor="accent5" w:themeShade="8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color w:val="2c3f71" w:themeColor="accent5" w:themeShade="80"/>
                                    <w:sz w:val="40"/>
                                    <w:szCs w:val="40"/>
                                  </w:rPr>
                                  <w:t xml:space="preserve">Программа</w:t>
                                </w:r>
                                <w:r>
                                  <w:rPr>
                                    <w:rFonts w:asciiTheme="majorHAnsi" w:hAnsiTheme="majorHAnsi" w:eastAsiaTheme="majorEastAsia" w:cstheme="majorBidi"/>
                                    <w:color w:val="2c3f71" w:themeColor="accent5" w:themeShade="80"/>
                                    <w:sz w:val="40"/>
                                    <w:szCs w:val="40"/>
                                  </w:rPr>
                                </w:r>
                              </w:p>
                            </w:sdtContent>
                          </w:sdt>
                          <w:p>
                            <w:pPr>
                              <w:contextualSpacing/>
                              <w:jc w:val="right"/>
                              <w:keepNext/>
                              <w:spacing w:after="240" w:line="240" w:lineRule="atLeast"/>
                              <w:widowControl w:val="off"/>
                              <w:rPr>
                                <w:rFonts w:ascii="Times New Roman CYR" w:hAnsi="Times New Roman CYR"/>
                                <w:b/>
                                <w:i/>
                                <w:color w:val="2c3f71" w:themeColor="accent5" w:themeShade="80"/>
                                <w:sz w:val="32"/>
                                <w:szCs w:val="32"/>
                              </w:rPr>
                              <w:outlineLvl w:val="0"/>
                            </w:pPr>
                            <w:r>
                              <w:rPr>
                                <w:rFonts w:ascii="Times New Roman CYR" w:hAnsi="Times New Roman CYR"/>
                                <w:b/>
                                <w:i/>
                                <w:color w:val="2c3f71" w:themeColor="accent5" w:themeShade="80"/>
                                <w:sz w:val="32"/>
                                <w:szCs w:val="32"/>
                              </w:rPr>
                            </w:r>
                            <w:r>
                              <w:rPr>
                                <w:rFonts w:ascii="Times New Roman CYR" w:hAnsi="Times New Roman CYR"/>
                                <w:b/>
                                <w:i/>
                                <w:color w:val="2c3f71" w:themeColor="accent5" w:themeShade="80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по сбору и обобщению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информации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ind w:firstLine="708"/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о качестве условий оказания услуг организациями социального обслуживания Новосибирской области, получаемой в целях проведения независимой оценки качества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ind w:firstLine="708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color w:val="4e5b6f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e5b6f" w:themeColor="text2"/>
                                <w:sz w:val="24"/>
                                <w:szCs w:val="24"/>
                              </w:rPr>
                              <w:t xml:space="preserve">Государственный контракт №0851200000626002185</w:t>
                            </w:r>
                            <w:r>
                              <w:rPr>
                                <w:color w:val="4e5b6f" w:themeColor="text2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color w:val="4e5b6f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4e5b6f" w:themeColor="text2"/>
                                <w:sz w:val="24"/>
                                <w:szCs w:val="24"/>
                              </w:rPr>
                              <w:t xml:space="preserve">от 04</w:t>
                            </w:r>
                            <w:r>
                              <w:rPr>
                                <w:color w:val="4e5b6f" w:themeColor="text2"/>
                                <w:sz w:val="24"/>
                                <w:szCs w:val="24"/>
                              </w:rPr>
                              <w:t xml:space="preserve">.05.2026</w:t>
                            </w:r>
                            <w:bookmarkStart w:id="2" w:name="_GoBack"/>
                            <w:r/>
                            <w:bookmarkEnd w:id="2"/>
                            <w:r/>
                            <w:r>
                              <w:rPr>
                                <w:color w:val="4e5b6f" w:themeColor="text2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v:textbox>
                    </v:shape>
                    <v:shape id="shape 8" o:spid="_x0000_s8" o:spt="1" type="#_x0000_t1" style="position:absolute;left:90;top:22;width:28;height:73;visibility:visible;" fillcolor="#E4F5D5" stroked="f"/>
                    <v:shape id="shape 9" o:spid="_x0000_s9" o:spt="1" type="#_x0000_t1" style="position:absolute;left:3;top:107;width:86;height:39;visibility:visible;" fillcolor="#E7157E" stroked="f"/>
                    <v:shape id="shape 10" o:spid="_x0000_s10" o:spt="1" type="#_x0000_t1" style="position:absolute;left:90;top:107;width:28;height:39;visibility:visible;" fillcolor="#94A5D5" stroked="f"/>
                    <v:shape id="shape 11" o:spid="_x0000_s11" o:spt="1" type="#_x0000_t1" style="position:absolute;left:3;top:146;width:115;height:7;v-text-anchor:middle;visibility:visible;" fillcolor="#AE0E5A" stroked="f">
                      <v:textbox inset="0,0,0,0">
                        <w:txbxContent>
                          <w:sdt>
                            <w:sdtPr>
                              <w:alias w:val="Адрес"/>
                              <w15:appearance w15:val="boundingBox"/>
                              <w:id w:val="-30798927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sdtPr>
                            <w:sdtContent>
                              <w:p>
                                <w:pPr>
                                  <w:pStyle w:val="784"/>
                                  <w:jc w:val="center"/>
                                  <w:rPr>
                                    <w:smallCaps/>
                                    <w:color w:val="ffffff" w:themeColor="background1"/>
                                    <w:spacing w:val="6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mallCaps/>
                                    <w:color w:val="ffffff" w:themeColor="background1"/>
                                    <w:spacing w:val="60"/>
                                    <w:sz w:val="28"/>
                                    <w:szCs w:val="28"/>
                                  </w:rPr>
                                  <w:t xml:space="preserve">г. Новосибирск</w:t>
                                </w:r>
                                <w:r>
                                  <w:rPr>
                                    <w:smallCaps/>
                                    <w:color w:val="ffffff" w:themeColor="background1"/>
                                    <w:spacing w:val="60"/>
                                    <w:sz w:val="28"/>
                                    <w:szCs w:val="28"/>
                                  </w:rPr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v:group>
                </w:pict>
              </mc:Fallback>
            </mc:AlternateContent>
          </w:r>
          <w:r/>
        </w:p>
        <w:p>
          <w:pPr>
            <w:rPr>
              <w:lang w:eastAsia="en-US"/>
            </w:rPr>
          </w:pPr>
          <w:r>
            <w:rPr>
              <w:lang w:eastAsia="en-US"/>
            </w:rPr>
            <w:br w:type="page" w:clear="all"/>
          </w:r>
          <w:r>
            <w:rPr>
              <w:lang w:eastAsia="en-US"/>
            </w:rPr>
          </w:r>
        </w:p>
      </w:sdtContent>
    </w:sdt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sdt>
      <w:sdtPr>
        <w15:appearance w15:val="boundingBox"/>
        <w:id w:val="654512288"/>
        <w:docPartObj>
          <w:docPartGallery w:val="Table of Contents"/>
          <w:docPartUnique w:val="true"/>
        </w:docPartObj>
        <w:rPr>
          <w:rFonts w:ascii="Times New Roman" w:hAnsi="Times New Roman" w:eastAsia="Times New Roman" w:cs="Times New Roman"/>
          <w:color w:val="auto"/>
          <w:sz w:val="20"/>
          <w:szCs w:val="20"/>
        </w:rPr>
      </w:sdtPr>
      <w:sdtContent>
        <w:p>
          <w:pPr>
            <w:pStyle w:val="780"/>
            <w:jc w:val="center"/>
            <w:spacing w:line="240" w:lineRule="auto"/>
            <w:rPr>
              <w:rStyle w:val="749"/>
              <w:rFonts w:cs="Times New Roman"/>
              <w:color w:val="auto"/>
            </w:rPr>
          </w:pPr>
          <w:r>
            <w:rPr>
              <w:rStyle w:val="749"/>
              <w:rFonts w:cs="Times New Roman"/>
              <w:color w:val="auto"/>
            </w:rPr>
            <w:t xml:space="preserve">Оглавление</w:t>
          </w:r>
          <w:r>
            <w:rPr>
              <w:rStyle w:val="749"/>
              <w:rFonts w:cs="Times New Roman"/>
              <w:color w:val="auto"/>
            </w:rPr>
          </w:r>
        </w:p>
        <w:p>
          <w:pPr>
            <w:pStyle w:val="781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tooltip="#_Toc169022752" w:anchor="_Toc169022752" w:history="1">
            <w:r>
              <w:rPr>
                <w:rStyle w:val="743"/>
                <w:sz w:val="28"/>
                <w:szCs w:val="28"/>
              </w:rPr>
              <w:t xml:space="preserve">Методика исследования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_Toc169022752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53" w:anchor="_Toc169022753" w:history="1">
            <w:r>
              <w:rPr>
                <w:rStyle w:val="743"/>
                <w:rFonts w:eastAsia="Calibri"/>
                <w:b/>
                <w:bCs/>
                <w:i/>
                <w:color w:val="af6502" w:themeColor="hyperlink" w:themeShade="BF"/>
                <w:sz w:val="28"/>
                <w:szCs w:val="28"/>
                <w:lang w:eastAsia="en-US"/>
              </w:rPr>
              <w:t xml:space="preserve">Нормативно-правовая база.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_Toc169022753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54" w:anchor="_Toc169022754" w:history="1">
            <w:r>
              <w:rPr>
                <w:rStyle w:val="743"/>
                <w:rFonts w:eastAsia="Calibri"/>
                <w:b/>
                <w:bCs/>
                <w:i/>
                <w:color w:val="af6502" w:themeColor="hyperlink" w:themeShade="BF"/>
                <w:sz w:val="28"/>
                <w:szCs w:val="28"/>
                <w:lang w:eastAsia="en-US"/>
              </w:rPr>
              <w:t xml:space="preserve">Цели и задачи: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_Toc169022754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55" w:anchor="_Toc169022755" w:history="1">
            <w:r>
              <w:rPr>
                <w:rStyle w:val="743"/>
                <w:rFonts w:eastAsia="Calibri"/>
                <w:b/>
                <w:bCs/>
                <w:i/>
                <w:color w:val="af6502" w:themeColor="hyperlink" w:themeShade="BF"/>
                <w:sz w:val="28"/>
                <w:szCs w:val="28"/>
                <w:lang w:eastAsia="en-US"/>
              </w:rPr>
              <w:t xml:space="preserve">Методы исследования (сбора данных):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_Toc169022755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56" w:anchor="_Toc169022756" w:history="1">
            <w:r>
              <w:rPr>
                <w:rStyle w:val="743"/>
                <w:rFonts w:eastAsia="Calibri"/>
                <w:b/>
                <w:bCs/>
                <w:i/>
                <w:color w:val="af6502" w:themeColor="hyperlink" w:themeShade="BF"/>
                <w:sz w:val="28"/>
                <w:szCs w:val="28"/>
                <w:lang w:eastAsia="en-US"/>
              </w:rPr>
              <w:t xml:space="preserve">Перечень критериев и показателей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_Toc169022756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57" w:anchor="_Toc169022757" w:history="1">
            <w:r>
              <w:rPr>
                <w:rStyle w:val="743"/>
                <w:sz w:val="28"/>
                <w:szCs w:val="28"/>
              </w:rPr>
              <w:t xml:space="preserve">I. Показатели, характеризующие открытость и доступность информации об организации (учреждении)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_Toc169022757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58" w:anchor="_Toc169022758" w:history="1">
            <w:r>
              <w:rPr>
                <w:rStyle w:val="743"/>
                <w:sz w:val="28"/>
                <w:szCs w:val="28"/>
              </w:rPr>
              <w:t xml:space="preserve">II. 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_Toc169022758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59" w:anchor="_Toc169022759" w:history="1">
            <w:r>
              <w:rPr>
                <w:rStyle w:val="743"/>
                <w:sz w:val="28"/>
                <w:szCs w:val="28"/>
              </w:rPr>
              <w:t xml:space="preserve">III. Показатели, характеризующие доступность услуг для инвалидов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_Toc169022759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60" w:anchor="_Toc169022760" w:history="1">
            <w:r>
              <w:rPr>
                <w:rStyle w:val="743"/>
                <w:sz w:val="28"/>
                <w:szCs w:val="28"/>
              </w:rPr>
              <w:t xml:space="preserve">IV. Показатели, характеризующие доброжелательность, вежливость работников организации (учреждения)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_Toc169022760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61" w:anchor="_Toc169022761" w:history="1">
            <w:r>
              <w:rPr>
                <w:rStyle w:val="743"/>
                <w:sz w:val="28"/>
                <w:szCs w:val="28"/>
              </w:rPr>
              <w:t xml:space="preserve">V. Показатели, характеризующие удовлетворенность условиями оказания услуг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_Toc169022761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1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62" w:anchor="_Toc169022762" w:history="1">
            <w:r>
              <w:rPr>
                <w:rStyle w:val="743"/>
                <w:sz w:val="28"/>
                <w:szCs w:val="28"/>
              </w:rPr>
              <w:t xml:space="preserve">Инструментарий исследования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_Toc169022762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63" w:anchor="_Toc169022763" w:history="1">
            <w:r>
              <w:rPr>
                <w:rStyle w:val="743"/>
                <w:sz w:val="28"/>
                <w:szCs w:val="28"/>
              </w:rPr>
              <w:t xml:space="preserve">Опросный лист (Анкета получателей услуг)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_Toc169022763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8"/>
              <w:szCs w:val="28"/>
            </w:rPr>
          </w:pPr>
          <w:r/>
          <w:hyperlink w:tooltip="#_Toc169022765" w:anchor="_Toc169022765" w:history="1">
            <w:r>
              <w:rPr>
                <w:rStyle w:val="743"/>
                <w:sz w:val="28"/>
                <w:szCs w:val="28"/>
              </w:rPr>
              <w:t xml:space="preserve">Чек-лист для сбора информации о качестве условий оказания услуг организациями – для экспертной оценки качества условий предоставления услуг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_Toc169022765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8"/>
              <w:szCs w:val="28"/>
            </w:rPr>
          </w:r>
        </w:p>
        <w:p>
          <w:pPr>
            <w:pStyle w:val="782"/>
            <w:tabs>
              <w:tab w:val="right" w:pos="9911" w:leader="dot"/>
            </w:tabs>
            <w:rPr>
              <w:rFonts w:asciiTheme="minorHAnsi" w:hAnsiTheme="minorHAnsi" w:eastAsiaTheme="minorEastAsia" w:cstheme="minorBidi"/>
              <w:sz w:val="22"/>
              <w:szCs w:val="22"/>
            </w:rPr>
          </w:pPr>
          <w:r/>
          <w:hyperlink w:tooltip="#_Toc169022766" w:anchor="_Toc169022766" w:history="1">
            <w:r>
              <w:rPr>
                <w:rStyle w:val="743"/>
                <w:sz w:val="28"/>
                <w:szCs w:val="28"/>
              </w:rPr>
              <w:t xml:space="preserve">Перечень организаций социального обслуживания Новосибирской области, в отношении которых проводится независимая оценка качест</w:t>
            </w:r>
            <w:r>
              <w:rPr>
                <w:rStyle w:val="743"/>
                <w:sz w:val="28"/>
                <w:szCs w:val="28"/>
              </w:rPr>
              <w:t xml:space="preserve">ва условий оказания услуг в 2026</w:t>
            </w:r>
            <w:r>
              <w:rPr>
                <w:rStyle w:val="743"/>
                <w:sz w:val="28"/>
                <w:szCs w:val="28"/>
              </w:rPr>
              <w:t xml:space="preserve"> году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PAGEREF _Toc169022766 \h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sz w:val="22"/>
              <w:szCs w:val="22"/>
            </w:rPr>
          </w:r>
        </w:p>
        <w:p>
          <w:r>
            <w:fldChar w:fldCharType="end"/>
          </w:r>
          <w:r/>
        </w:p>
      </w:sdtContent>
    </w:sdt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rFonts w:eastAsia="Calibri"/>
          <w:b/>
          <w:bCs/>
          <w:i/>
          <w:iCs/>
          <w:color w:val="0d594f"/>
          <w:sz w:val="28"/>
          <w:szCs w:val="28"/>
          <w:lang w:eastAsia="en-US"/>
        </w:rPr>
      </w:pPr>
      <w:r>
        <w:br w:type="page" w:clear="all"/>
      </w:r>
      <w:r>
        <w:rPr>
          <w:rFonts w:eastAsia="Calibri"/>
          <w:b/>
          <w:bCs/>
          <w:i/>
          <w:iCs/>
          <w:color w:val="0d594f"/>
          <w:sz w:val="28"/>
          <w:szCs w:val="28"/>
          <w:lang w:eastAsia="en-US"/>
        </w:rPr>
      </w:r>
    </w:p>
    <w:p>
      <w:pPr>
        <w:pStyle w:val="732"/>
        <w:spacing w:line="240" w:lineRule="auto"/>
      </w:pPr>
      <w:r/>
      <w:bookmarkStart w:id="4" w:name="_Toc169022752"/>
      <w:r>
        <w:t xml:space="preserve">Методика </w:t>
      </w:r>
      <w:r>
        <w:t xml:space="preserve">исследования</w:t>
      </w:r>
      <w:bookmarkEnd w:id="4"/>
      <w:r/>
      <w:r/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keepNext/>
        <w:spacing w:before="240" w:after="60"/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outlineLvl w:val="1"/>
      </w:pPr>
      <w:r/>
      <w:bookmarkStart w:id="5" w:name="_Toc169022753"/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t xml:space="preserve">Нормативно-правовая база</w:t>
      </w:r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t xml:space="preserve">.</w:t>
      </w:r>
      <w:bookmarkEnd w:id="5"/>
      <w:r/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</w:r>
    </w:p>
    <w:p>
      <w:pPr>
        <w:rPr>
          <w:sz w:val="8"/>
          <w:lang w:eastAsia="en-US"/>
        </w:rPr>
      </w:pPr>
      <w:r>
        <w:rPr>
          <w:sz w:val="8"/>
          <w:lang w:eastAsia="en-US"/>
        </w:rPr>
      </w:r>
      <w:r>
        <w:rPr>
          <w:sz w:val="8"/>
          <w:lang w:eastAsia="en-US"/>
        </w:rPr>
      </w:r>
    </w:p>
    <w:p>
      <w:pPr>
        <w:ind w:firstLine="709"/>
        <w:jc w:val="both"/>
        <w:rPr>
          <w:rFonts w:eastAsia="Courier New"/>
          <w:bCs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Проведение </w:t>
      </w:r>
      <w:r>
        <w:rPr>
          <w:rFonts w:eastAsia="Courier New"/>
          <w:bCs/>
          <w:iCs/>
          <w:color w:val="000000"/>
          <w:sz w:val="28"/>
          <w:szCs w:val="28"/>
          <w:lang w:eastAsia="zh-CN"/>
        </w:rPr>
        <w:t xml:space="preserve">сбор</w:t>
      </w:r>
      <w:r>
        <w:rPr>
          <w:rFonts w:eastAsia="Courier New"/>
          <w:bCs/>
          <w:iCs/>
          <w:color w:val="000000"/>
          <w:sz w:val="28"/>
          <w:szCs w:val="28"/>
          <w:lang w:eastAsia="zh-CN"/>
        </w:rPr>
        <w:t xml:space="preserve">а</w:t>
      </w:r>
      <w:r>
        <w:rPr>
          <w:rFonts w:eastAsia="Courier New"/>
          <w:bCs/>
          <w:iCs/>
          <w:color w:val="000000"/>
          <w:sz w:val="28"/>
          <w:szCs w:val="28"/>
          <w:lang w:eastAsia="zh-CN"/>
        </w:rPr>
        <w:t xml:space="preserve"> и обобщение информации о качестве условий оказания услуг организациями социального обслуживания в соответствии с</w:t>
      </w:r>
      <w:r>
        <w:t xml:space="preserve"> </w:t>
      </w:r>
      <w:r>
        <w:rPr>
          <w:rFonts w:eastAsia="Courier New"/>
          <w:bCs/>
          <w:iCs/>
          <w:color w:val="000000"/>
          <w:sz w:val="28"/>
          <w:szCs w:val="28"/>
          <w:lang w:eastAsia="zh-CN"/>
        </w:rPr>
        <w:t xml:space="preserve">нормативными актами:</w:t>
      </w:r>
      <w:r>
        <w:rPr>
          <w:rFonts w:eastAsia="Courier New"/>
          <w:bCs/>
          <w:iCs/>
          <w:color w:val="000000"/>
          <w:sz w:val="28"/>
          <w:szCs w:val="28"/>
          <w:lang w:eastAsia="zh-CN"/>
        </w:rPr>
      </w:r>
    </w:p>
    <w:p>
      <w:pPr>
        <w:contextualSpacing/>
        <w:ind w:firstLine="709"/>
        <w:jc w:val="both"/>
        <w:spacing w:before="240"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 Федеральным законом от 28.12.2013 № 442-ФЗ «Об основах социального обслуживания граждан в Российской Федерации»;</w:t>
      </w:r>
      <w:r>
        <w:rPr>
          <w:bCs/>
          <w:sz w:val="28"/>
          <w:szCs w:val="28"/>
        </w:rPr>
      </w:r>
    </w:p>
    <w:p>
      <w:pPr>
        <w:contextualSpacing/>
        <w:ind w:firstLine="709"/>
        <w:jc w:val="both"/>
        <w:spacing w:before="240" w:after="120"/>
        <w:rPr>
          <w:sz w:val="28"/>
          <w:szCs w:val="28"/>
        </w:rPr>
      </w:pPr>
      <w:r>
        <w:rPr>
          <w:bCs/>
          <w:sz w:val="28"/>
          <w:szCs w:val="28"/>
        </w:rPr>
        <w:t xml:space="preserve">- общ</w:t>
      </w:r>
      <w:r>
        <w:rPr>
          <w:bCs/>
          <w:sz w:val="28"/>
          <w:szCs w:val="28"/>
        </w:rPr>
        <w:t xml:space="preserve">ими критериями независимой оценки качества условий оказания услуг организациями социального обслуживания, порядком и процедурой ее проведения, утвержденными Федеральным законом от 05.12.2017 № 392-ФЗ «О внесении изменений в отдельные законодательные акты Р</w:t>
      </w:r>
      <w:r>
        <w:rPr>
          <w:bCs/>
          <w:sz w:val="28"/>
          <w:szCs w:val="28"/>
        </w:rPr>
        <w:t xml:space="preserve">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240" w:after="120"/>
        <w:rPr>
          <w:sz w:val="28"/>
          <w:szCs w:val="28"/>
        </w:rPr>
      </w:pPr>
      <w:r>
        <w:rPr>
          <w:sz w:val="28"/>
          <w:szCs w:val="28"/>
        </w:rPr>
        <w:t xml:space="preserve">открытость и доступность информации об организации социального обслуживания;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240" w:after="120"/>
        <w:rPr>
          <w:sz w:val="28"/>
          <w:szCs w:val="28"/>
        </w:rPr>
      </w:pPr>
      <w:r>
        <w:rPr>
          <w:sz w:val="28"/>
          <w:szCs w:val="28"/>
        </w:rPr>
        <w:t xml:space="preserve">комфортность условий предоставления социальных услуг, в том числе время ожидания предоставления услуг;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240" w:after="120"/>
        <w:rPr>
          <w:sz w:val="28"/>
          <w:szCs w:val="28"/>
        </w:rPr>
      </w:pPr>
      <w:r>
        <w:rPr>
          <w:sz w:val="28"/>
          <w:szCs w:val="28"/>
        </w:rPr>
        <w:t xml:space="preserve">доступность услуг для инвалидов;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240" w:after="120"/>
        <w:rPr>
          <w:sz w:val="28"/>
          <w:szCs w:val="28"/>
        </w:rPr>
      </w:pPr>
      <w:r>
        <w:rPr>
          <w:sz w:val="28"/>
          <w:szCs w:val="28"/>
        </w:rPr>
        <w:t xml:space="preserve">доброжелательность, вежливость работников организации социального обслуживания; 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240" w:after="120"/>
        <w:rPr>
          <w:sz w:val="28"/>
          <w:szCs w:val="28"/>
        </w:rPr>
      </w:pPr>
      <w:r>
        <w:rPr>
          <w:sz w:val="28"/>
          <w:szCs w:val="28"/>
        </w:rPr>
        <w:t xml:space="preserve">удовлетворенность условиями оказания услуг;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240" w:after="120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постановлением Правительства Российской Федер</w:t>
      </w:r>
      <w:r>
        <w:rPr>
          <w:sz w:val="28"/>
          <w:szCs w:val="28"/>
        </w:rPr>
        <w:t xml:space="preserve">ации от 31.05.2018 № 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240" w:after="120"/>
        <w:rPr>
          <w:sz w:val="28"/>
          <w:szCs w:val="28"/>
        </w:rPr>
      </w:pPr>
      <w:r>
        <w:rPr>
          <w:sz w:val="28"/>
          <w:szCs w:val="28"/>
        </w:rPr>
        <w:t xml:space="preserve">- полным объемом показателей, характеризующих общие критерии оценки качества условий оказания услуг организациями социального обслуживания</w:t>
      </w:r>
      <w:r>
        <w:rPr>
          <w:bCs/>
          <w:sz w:val="28"/>
          <w:szCs w:val="28"/>
        </w:rPr>
        <w:t xml:space="preserve"> и федеральными учреждениями медико-социальной экспертизы</w:t>
      </w:r>
      <w:r>
        <w:rPr>
          <w:sz w:val="28"/>
          <w:szCs w:val="28"/>
        </w:rPr>
        <w:t xml:space="preserve">, утвержденных приказом Министерства труда и социальной защиты Российской Федерации от 23.05.2018 № 317н «Об утверждении показателей, характеризующих общие критерии оценки качества условий оказания услуг организациями социального обслуживания</w:t>
      </w:r>
      <w:r>
        <w:rPr>
          <w:bCs/>
          <w:sz w:val="28"/>
          <w:szCs w:val="28"/>
        </w:rPr>
        <w:t xml:space="preserve"> и федеральными учреждениями медико-социальной экспертизы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before="240" w:after="120"/>
        <w:rPr>
          <w:sz w:val="28"/>
          <w:szCs w:val="28"/>
        </w:rPr>
      </w:pPr>
      <w:r>
        <w:rPr>
          <w:sz w:val="28"/>
          <w:szCs w:val="28"/>
        </w:rPr>
        <w:t xml:space="preserve">- приказом Министерства труда и социальной защиты Российской Федерации </w:t>
      </w:r>
      <w:r>
        <w:rPr>
          <w:sz w:val="28"/>
          <w:szCs w:val="28"/>
        </w:rPr>
        <w:br/>
        <w:t xml:space="preserve">от 30.10.2018</w:t>
      </w:r>
      <w:r>
        <w:rPr>
          <w:sz w:val="28"/>
          <w:szCs w:val="28"/>
        </w:rPr>
        <w:t xml:space="preserve"> № 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(далее </w:t>
      </w:r>
      <w:r>
        <w:rPr>
          <w:sz w:val="28"/>
          <w:szCs w:val="28"/>
        </w:rPr>
        <w:noBreakHyphen/>
        <w:t xml:space="preserve"> </w:t>
      </w:r>
      <w:r>
        <w:rPr>
          <w:bCs/>
          <w:sz w:val="28"/>
          <w:szCs w:val="28"/>
        </w:rPr>
        <w:t xml:space="preserve">приказ Министерства труда и социальной защиты Российской Федерации от 30.10.2018 </w:t>
      </w:r>
      <w:r>
        <w:rPr>
          <w:bCs/>
          <w:sz w:val="28"/>
          <w:szCs w:val="28"/>
        </w:rPr>
        <w:br/>
        <w:t xml:space="preserve">№ 675н)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</w:t>
      </w:r>
      <w:r>
        <w:rPr>
          <w:sz w:val="28"/>
          <w:szCs w:val="28"/>
        </w:rPr>
        <w:t xml:space="preserve">образования, социального обслуживания и федеральными учреждениями медико-социальной экспертизы, утвержденным приказом Министерства труда и социальной защиты Российской Федерации от 31.05.2018 № 344н «Об утверждении Единого порядка расчета показателей, хара</w:t>
      </w:r>
      <w:r>
        <w:rPr>
          <w:sz w:val="28"/>
          <w:szCs w:val="28"/>
        </w:rPr>
        <w:t xml:space="preserve">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(далее – Единый порядок расчета показателей);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приказом Министерства труда и социальной защиты Российской Федерации </w:t>
      </w:r>
      <w:r>
        <w:rPr>
          <w:sz w:val="28"/>
          <w:szCs w:val="28"/>
        </w:rPr>
        <w:br/>
        <w:t xml:space="preserve">от 28.03.2025 № 163н «Об утвержден</w:t>
      </w:r>
      <w:r>
        <w:rPr>
          <w:sz w:val="28"/>
          <w:szCs w:val="28"/>
        </w:rPr>
        <w:t xml:space="preserve">ии порядка размещения и обновления информации о поставщике социальных услуг, включая требования к содержанию и форме предоставления указанной информации, на официальном сайте поставщика социальных услуг в информационно-телекоммуникационной сети «Интернет»;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перечнем организаций социального обслуживания Новосибирской области, в отношении которых проводится независимая оценка качества условий оказания услуг в 2026 году, утвержденным Общественным советом по проведению независимой оценки к</w:t>
      </w:r>
      <w:r>
        <w:rPr>
          <w:sz w:val="28"/>
          <w:szCs w:val="28"/>
        </w:rPr>
        <w:t xml:space="preserve">ачества условий оказания услуг организациями социального обслуживания при министерстве труда и социального развития Новосибирской области (далее – Министерство), прилагаемым к настоящему Описанию объекта закупки (приложение № 1 к Описанию объекта закупки).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заседания Общественного совета по проведению независимой оценки качества условий оказания услуг организациями социального обслуживания при Министерстве </w:t>
      </w:r>
      <w:r>
        <w:rPr>
          <w:sz w:val="28"/>
          <w:szCs w:val="28"/>
        </w:rPr>
        <w:br/>
        <w:t xml:space="preserve">от 25.12.2025 № 7 размещен на официальном сайте Министерства в</w:t>
      </w:r>
      <w:r>
        <w:rPr>
          <w:bCs/>
          <w:sz w:val="28"/>
          <w:szCs w:val="28"/>
        </w:rPr>
        <w:t xml:space="preserve"> информационно-телекоммуникационной сети «Интернет» (</w:t>
      </w:r>
      <w:r>
        <w:rPr>
          <w:sz w:val="28"/>
          <w:szCs w:val="28"/>
        </w:rPr>
        <w:t xml:space="preserve">https://mtsr.nso.ru/page/15443).</w:t>
      </w:r>
      <w:r>
        <w:rPr>
          <w:sz w:val="28"/>
          <w:szCs w:val="28"/>
        </w:rPr>
      </w:r>
    </w:p>
    <w:p>
      <w:pPr>
        <w:rPr>
          <w:rFonts w:eastAsia="Calibri"/>
          <w:b/>
          <w:bCs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</w:pPr>
      <w:r>
        <w:rPr>
          <w:rFonts w:eastAsia="Calibri"/>
          <w:b/>
          <w:bCs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br w:type="page" w:clear="all"/>
      </w:r>
      <w:r>
        <w:rPr>
          <w:rFonts w:eastAsia="Calibri"/>
          <w:b/>
          <w:bCs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</w:r>
    </w:p>
    <w:p>
      <w:pPr>
        <w:keepNext/>
        <w:spacing w:before="240" w:after="60"/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outlineLvl w:val="1"/>
      </w:pPr>
      <w:r/>
      <w:bookmarkStart w:id="6" w:name="_Toc169022754"/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t xml:space="preserve">Цели и задачи:</w:t>
      </w:r>
      <w:bookmarkEnd w:id="6"/>
      <w:r/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</w:r>
    </w:p>
    <w:p>
      <w:pPr>
        <w:widowControl w:val="off"/>
        <w:tabs>
          <w:tab w:val="left" w:pos="792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Цель: </w:t>
      </w: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сбор информации о качестве условий оказания услуг организациями социального обслуживания Новосибирской области и обобщение полученных данных в целях проведения независимой оценки качест</w:t>
      </w: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ва условий оказания услуг в 2026</w:t>
      </w: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 году.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Задачи: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- получение информации о качестве условий оказания социальных услуг организациями социального обслуживания, расположенными на территории </w:t>
      </w: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Новосибирск</w:t>
      </w: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ой области</w:t>
      </w: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 (по каждому учреждению отдельно);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- формирование проекта рейтинга организаций социального обслуживания.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Объект: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Качество условий оказания услуг организациями социального обслуживания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Предмет: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Сбор и обобщение информации об условиях оказания услуг в организациях социального обслуживания по таким общим критериям: 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- открытость и доступность информации об организации социального обслуживания; 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- комфортность условий предоставления социальных услуг, в том числе время ожидания предоставления услуг; 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- доброжелательность, вежливость работников организации социального обслуживания; 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- удовлетворенность качеством условий оказания услуг;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ind w:firstLine="709"/>
        <w:jc w:val="both"/>
        <w:rPr>
          <w:rFonts w:eastAsia="Courier New"/>
          <w:iCs/>
          <w:color w:val="000000"/>
          <w:sz w:val="28"/>
          <w:szCs w:val="28"/>
          <w:lang w:eastAsia="zh-CN"/>
        </w:rPr>
      </w:pPr>
      <w:r>
        <w:rPr>
          <w:rFonts w:eastAsia="Courier New"/>
          <w:iCs/>
          <w:color w:val="000000"/>
          <w:sz w:val="28"/>
          <w:szCs w:val="28"/>
          <w:lang w:eastAsia="zh-CN"/>
        </w:rPr>
        <w:t xml:space="preserve">- доступность услуг для инвалидов.</w:t>
      </w:r>
      <w:r>
        <w:rPr>
          <w:rFonts w:eastAsia="Courier New"/>
          <w:iCs/>
          <w:color w:val="000000"/>
          <w:sz w:val="28"/>
          <w:szCs w:val="28"/>
          <w:lang w:eastAsia="zh-CN"/>
        </w:rPr>
      </w:r>
    </w:p>
    <w:p>
      <w:pPr>
        <w:rPr>
          <w:rFonts w:eastAsia="Courier New"/>
          <w:lang w:eastAsia="zh-CN"/>
        </w:rPr>
      </w:pPr>
      <w:r>
        <w:rPr>
          <w:rFonts w:eastAsia="Courier New"/>
          <w:lang w:eastAsia="zh-CN"/>
        </w:rPr>
      </w:r>
      <w:r>
        <w:rPr>
          <w:rFonts w:eastAsia="Courier New"/>
          <w:lang w:eastAsia="zh-CN"/>
        </w:rPr>
      </w:r>
    </w:p>
    <w:p>
      <w:pPr>
        <w:ind w:firstLine="709"/>
        <w:jc w:val="both"/>
        <w:rPr>
          <w:rFonts w:eastAsia="Courier New"/>
          <w:sz w:val="28"/>
          <w:szCs w:val="28"/>
          <w:lang w:eastAsia="zh-CN"/>
        </w:rPr>
      </w:pPr>
      <w:r>
        <w:rPr>
          <w:rFonts w:eastAsia="Courier New"/>
          <w:sz w:val="28"/>
          <w:szCs w:val="28"/>
          <w:lang w:eastAsia="zh-CN"/>
        </w:rPr>
        <w:br w:type="page" w:clear="all"/>
      </w:r>
      <w:r>
        <w:rPr>
          <w:rFonts w:eastAsia="Courier New"/>
          <w:sz w:val="28"/>
          <w:szCs w:val="28"/>
          <w:lang w:eastAsia="zh-CN"/>
        </w:rPr>
      </w:r>
    </w:p>
    <w:p>
      <w:pPr>
        <w:keepNext/>
        <w:spacing w:before="240" w:after="60"/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outlineLvl w:val="1"/>
      </w:pPr>
      <w:r/>
      <w:bookmarkStart w:id="7" w:name="_Toc2141054"/>
      <w:r/>
      <w:bookmarkStart w:id="8" w:name="_Toc169022755"/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t xml:space="preserve">Методы исследования (сбора данных)</w:t>
      </w:r>
      <w:bookmarkEnd w:id="7"/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t xml:space="preserve">:</w:t>
      </w:r>
      <w:bookmarkEnd w:id="8"/>
      <w:r/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 Разработка и подготовка инструментария: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Обследование проводится методом анкетирования, структурированного наблюдения и документальным методом. Обследование может включать открытые вопросы.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Генеральная совокупность – получатели социальных услуг, в соответствии с перечнем организаций социального обслуживания, в отношении которых проводится независимая оценка качества условий оказания услуг. Выборка неслучайная, целевая.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2) Место оказания услуг: в соответствии с перечнем организаций социального обслуживания, в отношении которых проводится независимая </w:t>
      </w:r>
      <w:r>
        <w:rPr>
          <w:sz w:val="28"/>
          <w:szCs w:val="28"/>
          <w:highlight w:val="white"/>
        </w:rPr>
        <w:t xml:space="preserve">оценка качества условий оказание услуг. Итоговый отчет передается Заказчику по адр</w:t>
      </w:r>
      <w:r>
        <w:rPr>
          <w:sz w:val="28"/>
          <w:szCs w:val="28"/>
          <w:highlight w:val="white"/>
        </w:rPr>
        <w:t xml:space="preserve">есу: г. </w:t>
      </w:r>
      <w:r>
        <w:rPr>
          <w:sz w:val="28"/>
          <w:szCs w:val="28"/>
          <w:highlight w:val="white"/>
        </w:rPr>
        <w:t xml:space="preserve">Новосибирск</w:t>
      </w:r>
      <w:r>
        <w:rPr>
          <w:sz w:val="28"/>
          <w:szCs w:val="28"/>
          <w:highlight w:val="white"/>
        </w:rPr>
        <w:t xml:space="preserve">, ул. Серебренниковская, 6.</w:t>
      </w:r>
      <w:r>
        <w:rPr>
          <w:sz w:val="28"/>
          <w:szCs w:val="28"/>
          <w:highlight w:val="white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 График оказания услуг: со дня заключения государственного контракта и не позднее</w:t>
      </w:r>
      <w:r>
        <w:rPr>
          <w:sz w:val="28"/>
          <w:szCs w:val="28"/>
        </w:rPr>
        <w:t xml:space="preserve"> 31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08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Основной метод выявления мнения получателей услуг – их опрос, который может осуществляться в форме: 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 анкетирования получателей услу</w:t>
      </w:r>
      <w:r>
        <w:rPr>
          <w:sz w:val="28"/>
          <w:szCs w:val="28"/>
        </w:rPr>
        <w:t xml:space="preserve">г (в том числе онлайн-анкетирование - по анкете, размещенной в информационно-телекоммуникационной сети «Интернет» на официальном сайте организации социального обслуживания, в отношении которой проводится независимая оценка качества условий оказания услуг);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 интервьюирования получателей услуг; 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Методы проведения объективной оценки качества условий оказания услуг: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 аудит официального сайта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 визит в организацию с использованием технологии «тайный покупатель».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Требования к выборочной совокупности респондентов 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Доля респондентов составляет 40 % от общей численности получателей услуг в организации в течение календарного года, предшествующего году проведения независимо</w:t>
      </w:r>
      <w:r>
        <w:rPr>
          <w:sz w:val="28"/>
          <w:szCs w:val="28"/>
        </w:rPr>
        <w:t xml:space="preserve">й оценки качества, но не более 600 респондентов в одной организации. При этом выборка будет включать в равных долях получателей социальных услуг на дому и получателей мер социальной поддержки, за предоставлением которых они обращались в данную организацию.</w:t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Calibri"/>
          <w:sz w:val="8"/>
          <w:szCs w:val="28"/>
          <w:lang w:eastAsia="en-US"/>
        </w:rPr>
      </w:pPr>
      <w:r>
        <w:rPr>
          <w:rFonts w:eastAsia="Calibri"/>
          <w:sz w:val="8"/>
          <w:szCs w:val="28"/>
          <w:lang w:eastAsia="en-US"/>
        </w:rPr>
      </w:r>
      <w:r>
        <w:rPr>
          <w:rFonts w:eastAsia="Calibri"/>
          <w:sz w:val="8"/>
          <w:szCs w:val="28"/>
          <w:lang w:eastAsia="en-US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реализации поставленных задач использовался инструментарий: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опросные листы (анкеты) – для опроса получателей социальных услуг;</w:t>
      </w:r>
      <w:r>
        <w:rPr>
          <w:sz w:val="28"/>
          <w:szCs w:val="28"/>
        </w:rPr>
      </w:r>
    </w:p>
    <w:p>
      <w:pPr>
        <w:ind w:firstLine="709"/>
        <w:widowControl w:val="off"/>
        <w:tabs>
          <w:tab w:val="left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формы представления информации о качестве условий оказания услуг организациями – для экспертной оценки качества условий предоставления услуг с использованием телефонной связи и электронных сервисов (сайты, электронная почта организаций);</w:t>
      </w:r>
      <w:r>
        <w:rPr>
          <w:sz w:val="28"/>
          <w:szCs w:val="28"/>
        </w:rPr>
      </w:r>
    </w:p>
    <w:p>
      <w:pPr>
        <w:ind w:firstLine="709"/>
        <w:jc w:val="both"/>
        <w:sectPr>
          <w:headerReference w:type="default" r:id="rId9"/>
          <w:footnotePr/>
          <w:endnotePr/>
          <w:type w:val="nextPage"/>
          <w:pgSz w:w="11906" w:h="16838" w:orient="portrait"/>
          <w:pgMar w:top="709" w:right="567" w:bottom="1134" w:left="1418" w:header="709" w:footer="567" w:gutter="0"/>
          <w:cols w:num="1" w:sep="0" w:space="708" w:equalWidth="1"/>
          <w:docGrid w:linePitch="360"/>
          <w:titlePg/>
        </w:sectPr>
      </w:pPr>
      <w:r/>
      <w:r/>
    </w:p>
    <w:p>
      <w:pPr>
        <w:keepNext/>
        <w:spacing w:before="240" w:after="60"/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outlineLvl w:val="1"/>
      </w:pPr>
      <w:r/>
      <w:bookmarkStart w:id="9" w:name="_Toc169022756"/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t xml:space="preserve">Перечень критериев и показателей</w:t>
      </w:r>
      <w:bookmarkEnd w:id="9"/>
      <w:r/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</w:r>
    </w:p>
    <w:p>
      <w:pPr>
        <w:jc w:val="center"/>
        <w:rPr>
          <w:rFonts w:eastAsia="Calibri"/>
          <w:sz w:val="24"/>
          <w:szCs w:val="24"/>
        </w:rPr>
        <w:outlineLvl w:val="0"/>
      </w:pPr>
      <w:r>
        <w:rPr>
          <w:rFonts w:eastAsia="Calibri"/>
          <w:sz w:val="24"/>
          <w:szCs w:val="24"/>
        </w:rPr>
        <w:t xml:space="preserve">Показатели, характеризующие общие критерии оценки качества условий оказания услуг организациями социального обслуживания</w:t>
      </w:r>
      <w:r>
        <w:rPr>
          <w:rFonts w:eastAsia="Calibri"/>
          <w:sz w:val="24"/>
          <w:szCs w:val="24"/>
        </w:rPr>
      </w:r>
    </w:p>
    <w:p>
      <w:pPr>
        <w:jc w:val="center"/>
        <w:rPr>
          <w:rFonts w:eastAsia="Calibri"/>
          <w:sz w:val="24"/>
          <w:szCs w:val="24"/>
        </w:rPr>
        <w:outlineLvl w:val="0"/>
      </w:pPr>
      <w:r>
        <w:rPr>
          <w:rFonts w:eastAsia="Calibri"/>
          <w:sz w:val="24"/>
          <w:szCs w:val="24"/>
        </w:rPr>
        <w:t xml:space="preserve">(утверждены приказом Министерства труда и социальной защиты Российской Федерации от 23.05.2018 № 317н </w:t>
      </w:r>
      <w:r>
        <w:rPr>
          <w:sz w:val="24"/>
          <w:szCs w:val="24"/>
        </w:rPr>
        <w:t xml:space="preserve">«Об утверждении показателей, характеризующих общие критерии оценки качества условий оказания услуг организациями социального обслуживания</w:t>
      </w:r>
      <w:r>
        <w:rPr>
          <w:rFonts w:eastAsia="Calibri"/>
          <w:sz w:val="24"/>
          <w:szCs w:val="24"/>
        </w:rPr>
      </w:r>
    </w:p>
    <w:p>
      <w:pPr>
        <w:jc w:val="center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 федеральными учреждениями медико-социальной экспертизы»</w:t>
      </w:r>
      <w:r>
        <w:rPr>
          <w:b/>
          <w:bCs/>
          <w:sz w:val="24"/>
          <w:szCs w:val="24"/>
        </w:rPr>
        <w:t xml:space="preserve"> </w:t>
      </w:r>
      <w:hyperlink w:tooltip="#P104" w:anchor="P104" w:history="1">
        <w:r>
          <w:rPr>
            <w:b/>
            <w:bCs/>
            <w:sz w:val="24"/>
            <w:szCs w:val="24"/>
          </w:rPr>
          <w:t xml:space="preserve">&lt;*&gt;</w:t>
        </w:r>
      </w:hyperlink>
      <w:r>
        <w:rPr>
          <w:b/>
          <w:bCs/>
          <w:sz w:val="24"/>
          <w:szCs w:val="24"/>
        </w:rPr>
        <w:t xml:space="preserve">)</w:t>
      </w:r>
      <w:r>
        <w:rPr>
          <w:bCs/>
          <w:sz w:val="24"/>
          <w:szCs w:val="24"/>
        </w:rPr>
      </w:r>
    </w:p>
    <w:p>
      <w:pPr>
        <w:ind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09"/>
        <w:gridCol w:w="9214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</w:t>
            </w:r>
            <w:r>
              <w:rPr>
                <w:szCs w:val="24"/>
              </w:rPr>
              <w:t xml:space="preserve">№ п/п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  <w:outlineLvl w:val="1"/>
            </w:pPr>
            <w:r>
              <w:rPr>
                <w:sz w:val="24"/>
                <w:szCs w:val="24"/>
              </w:rPr>
              <w:t xml:space="preserve">I. Показатели, характеризующие открытость и доступность информации об организации (учреждении)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информации о деятельности организации (учреждения), размещенной на общедоступных информационных ресурсах, ее содержанию и порядку (форме) размещения, установленным нормативными правовыми актами </w:t>
            </w:r>
            <w:hyperlink w:tooltip="#P105" w:anchor="P105" w:history="1">
              <w:r>
                <w:rPr>
                  <w:sz w:val="24"/>
                  <w:szCs w:val="24"/>
                </w:rPr>
                <w:t xml:space="preserve">&lt;**&gt;</w:t>
              </w:r>
            </w:hyperlink>
            <w:r>
              <w:rPr>
                <w:sz w:val="24"/>
                <w:szCs w:val="24"/>
              </w:rPr>
              <w:t xml:space="preserve">: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информационных стендах в помещении организации (учреждения);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организации (учреждения) в информационно-телекоммуникационной сети «Интернет» (далее - официальный сайт организации (учреждения).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телефона;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электронной почты;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электронных сервисов (форма для подачи электронного обращения (жалобы, предложения), получение консультации по оказываемым услугам и пр.);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раздела «Часто задаваемые вопросы»;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получателей услуг, удовлетворенных открыт</w:t>
            </w:r>
            <w:r>
              <w:rPr>
                <w:sz w:val="24"/>
                <w:szCs w:val="24"/>
              </w:rPr>
              <w:t xml:space="preserve">остью, полнотой и доступностью информации о деятельности организации (учреждения), размещенной на информационных стендах в помещении организации (учреждения), на официальном сайте организации (учреждения) (в % от общего числа опрошенных получателей услуг).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  <w:outlineLvl w:val="1"/>
            </w:pPr>
            <w:r>
              <w:rPr>
                <w:sz w:val="24"/>
                <w:szCs w:val="24"/>
              </w:rPr>
              <w:t xml:space="preserve">II. Показатели, характеризующие комфортность условий предоставления услуг, в том числе время ожидания предоставления услуг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 организации (учреждении) комфортных условий для предоставления услуг: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комфортной зоны отдыха (ожидания), оборудованной соответствующей мебелью;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и понятность навигации внутри организации (учреждения);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и доступность питьевой воды;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и доступность санитарно-гигиенических помещений;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санитарное состояние помещений организаций;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транспортная доступность (возможность доехать до организации (учреждения) на общественном транспорте, наличие парковки);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доступность записи на получение услуги (по телефону, на официальном сайте организации (учреждения), посредством Единого портала государственных и муниципальных услуг, при личном посещении в регистратуре или у специалиста организации (учреждения) и пр.).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ожидания предоставления услуги (своевременность предоставления </w:t>
            </w:r>
            <w:r>
              <w:rPr>
                <w:sz w:val="24"/>
                <w:szCs w:val="24"/>
              </w:rPr>
              <w:t xml:space="preserve">услуги в соответствии с записью на прием к специалисту организации (учреждения) для получения услуги, графиком прихода социального работника на дом и пр.).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получателей услуг, удовлетворенных комфортностью условий предоставления услуг (в % от общего числа опрошенных получателей услуг).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  <w:outlineLvl w:val="1"/>
            </w:pPr>
            <w:r>
              <w:rPr>
                <w:sz w:val="24"/>
                <w:szCs w:val="24"/>
              </w:rPr>
              <w:t xml:space="preserve">III. Показатели, характеризующие доступность услуг для инвалидов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помещений организации (учреждения) и прилегающей к организации (учреждению) территории с учетом доступности для инвалидов: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входных групп пандусами (подъемными платформами);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выделенных стоянок для автотранспортных средств инвалидов;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адаптированных лифтов, поручней, расширенных дверных проемов;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сменных кресел-колясок;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специально оборудованных для инвалидов санитарно-гигиенических помещений.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 организации (учреждении) условий доступности, позволяющих инвалидам получать услуги наравне с другими, включая: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дублирование для инвалидов по слуху и зрению звуковой и зрительной информации;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предоставления инвалидам по слуху (слуху и зрению) услуг сурдопереводчика(тифлосурдопереводчика);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альтернативной версии официального сайта организации (учреждения) для инвалидов по зрению;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помощь, оказываемая работниками организации (учреждения), прошедшими необходимое обучение (инструктирование) по сопровождению инвалидов в помещениях организации (учреждения) и на прилегающей территории;</w:t>
            </w:r>
            <w:r>
              <w:rPr>
                <w:sz w:val="24"/>
                <w:szCs w:val="24"/>
              </w:rPr>
            </w:r>
          </w:p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возможности предоставления услуги в дистанционном режиме или на дому.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получателей услуг, удовлетворенных доступностью услуг для инвалидов (в % от общего числа опрошенных получателей услуг - инвалидов).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  <w:outlineLvl w:val="1"/>
            </w:pPr>
            <w:r>
              <w:rPr>
                <w:sz w:val="24"/>
                <w:szCs w:val="24"/>
              </w:rPr>
              <w:t xml:space="preserve">IV. Показатели, характеризующие доброжелательность, вежливость работников организации (учреждения)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получателей услуг, удовлетворенных доброжелательностью, вежливостью работников организации</w:t>
            </w:r>
            <w:r>
              <w:rPr>
                <w:sz w:val="24"/>
                <w:szCs w:val="24"/>
              </w:rPr>
              <w:t xml:space="preserve"> (учреждения), обеспечивающих первичный контакт и информирование получателя услуги (работники регистратуры, справочной, приемного отделения и прочие работники) при непосредственном обращении в организацию (в % от общего числа опрошенных получателей услуг).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получателей услуг, удовлетворенных доброжелательностью, вежливостью работников организации (учрежд</w:t>
            </w:r>
            <w:r>
              <w:rPr>
                <w:sz w:val="24"/>
                <w:szCs w:val="24"/>
              </w:rPr>
              <w:t xml:space="preserve">ения), обеспечивающих непосредственное оказание услуги (социальные работники, работники, осуществляющие экспертно-реабилитационную диагностику, и прочие работники) при обращении в организацию (учреждение) (в % от общего числа опрошенных получателей услуг).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получателей услуг, удовлетворенных доброжелательностью, вежливостью работников организации (учреждения) при использовании дис</w:t>
            </w:r>
            <w:r>
              <w:rPr>
                <w:sz w:val="24"/>
                <w:szCs w:val="24"/>
              </w:rPr>
              <w:t xml:space="preserve">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получение консультации по оказываемым услугам и пр.) (в % от общего числа опрошенных получателей услуг).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  <w:outlineLvl w:val="1"/>
            </w:pPr>
            <w:r>
              <w:rPr>
                <w:sz w:val="24"/>
                <w:szCs w:val="24"/>
              </w:rPr>
              <w:t xml:space="preserve">V. Показатели, характеризующие удовлетворенность условиями оказания услуг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получателей услуг, которые готовы рекомендовать организацию (учреждение) родственникам и знакомым (могли бы ее рекомендовать, если бы была возможность выбора организации (учреждения) (в % от общего числа опрошенных получателей услуг).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получате</w:t>
            </w:r>
            <w:r>
              <w:rPr>
                <w:sz w:val="24"/>
                <w:szCs w:val="24"/>
              </w:rPr>
              <w:t xml:space="preserve">лей услуг, удовлетворенных организационными условиями оказания услуг - графиком работы организации (учреждения) (подразделения, отдельных специалистов, графиком прихода социального работника на дом и др.) (в % от общего числа опрошенных получателей услуг).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ind w:firstLine="720"/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53</w:t>
            </w:r>
            <w:r>
              <w:rPr>
                <w:sz w:val="24"/>
                <w:szCs w:val="24"/>
              </w:rPr>
            </w:r>
          </w:p>
        </w:tc>
        <w:tc>
          <w:tcPr>
            <w:tcW w:w="9214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получателей услуг, удовлетворенных в целом условиями оказания услуг в организации (учреждении) (в % от общего числа опрошенных получателей услуг).</w:t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--------------------------------</w:t>
      </w:r>
      <w:r>
        <w:rPr>
          <w:sz w:val="24"/>
          <w:szCs w:val="24"/>
        </w:rPr>
      </w:r>
    </w:p>
    <w:p>
      <w:pPr>
        <w:ind w:firstLine="540"/>
        <w:jc w:val="both"/>
        <w:spacing w:before="22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&lt;*&gt; Далее соответственно - организация, учреждение.</w:t>
      </w:r>
      <w:r>
        <w:rPr>
          <w:sz w:val="24"/>
          <w:szCs w:val="24"/>
        </w:rPr>
      </w:r>
    </w:p>
    <w:p>
      <w:pPr>
        <w:ind w:firstLine="540"/>
        <w:jc w:val="both"/>
        <w:spacing w:before="220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&lt;**&gt; </w:t>
      </w:r>
      <w:hyperlink r:id="rId13" w:tooltip="consultantplus://offline/ref=5B926C1450E43BD87E0F9F3C662B35C03D0A3C007166DC27E4CF145A214AF28DBBB6B3BC85D207B9C2h8K" w:history="1">
        <w:r>
          <w:rPr>
            <w:sz w:val="24"/>
            <w:szCs w:val="24"/>
          </w:rPr>
          <w:t xml:space="preserve">Статья 13</w:t>
        </w:r>
      </w:hyperlink>
      <w:r>
        <w:rPr>
          <w:sz w:val="24"/>
          <w:szCs w:val="24"/>
        </w:rPr>
        <w:t xml:space="preserve"> Федерального закона от 28.12.2013 № 442-ФЗ «Об основах социального обслуживания граждан в Российской Федерации»; </w:t>
      </w:r>
      <w:hyperlink r:id="rId14" w:tooltip="consultantplus://offline/ref=5B926C1450E43BD87E0F9F3C662B35C03D0B37017963DC27E4CF145A214AF28DBBB6B3BCC8hDK" w:history="1">
        <w:r>
          <w:rPr>
            <w:sz w:val="24"/>
            <w:szCs w:val="24"/>
          </w:rPr>
          <w:t xml:space="preserve">статья 8</w:t>
        </w:r>
      </w:hyperlink>
      <w:r>
        <w:rPr>
          <w:sz w:val="24"/>
          <w:szCs w:val="24"/>
        </w:rPr>
        <w:t xml:space="preserve"> Федерального закона от 24.11.1995 № 181-ФЗ «О социальной защите инвалидов в Российской Федерации»; </w:t>
      </w:r>
      <w:r>
        <w:rPr>
          <w:color w:val="000000"/>
          <w:sz w:val="24"/>
          <w:szCs w:val="24"/>
        </w:rPr>
        <w:t xml:space="preserve">от 28.03.2025 № 163н «</w:t>
      </w:r>
      <w:r>
        <w:rPr>
          <w:sz w:val="24"/>
          <w:szCs w:val="24"/>
        </w:rPr>
        <w:t xml:space="preserve">Об утвержден</w:t>
      </w:r>
      <w:r>
        <w:rPr>
          <w:sz w:val="24"/>
          <w:szCs w:val="24"/>
        </w:rPr>
        <w:t xml:space="preserve">ии порядка размещения и обновления информации о поставщике социальных услуг, включая требования к содержанию и форме предоставления указанной информации, на официальном сайте поставщика социальных услуг в информационно-телекоммуникационной сети «Интернет».</w:t>
      </w:r>
      <w:r>
        <w:rPr>
          <w:sz w:val="24"/>
          <w:szCs w:val="24"/>
        </w:rPr>
      </w:r>
    </w:p>
    <w:p>
      <w:pPr>
        <w:keepNext/>
        <w:spacing w:before="240" w:after="60"/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  <w:outlineLvl w:val="1"/>
      </w:pPr>
      <w:r>
        <w:rPr>
          <w:rFonts w:eastAsia="Calibri"/>
          <w:sz w:val="24"/>
          <w:szCs w:val="24"/>
        </w:rPr>
        <w:br w:type="page" w:clear="all"/>
      </w:r>
      <w:r>
        <w:rPr>
          <w:rFonts w:eastAsia="Calibri"/>
          <w:b/>
          <w:bCs/>
          <w:i/>
          <w:color w:val="0d594f"/>
          <w:sz w:val="28"/>
          <w:szCs w:val="28"/>
          <w:lang w:eastAsia="en-US"/>
          <w14:textFill>
            <w14:solidFill>
              <w14:srgbClr w14:val="0D594F">
                <w14:lumMod w14:val="75000"/>
              </w14:srgbClr>
            </w14:solidFill>
          </w14:textFill>
        </w:rPr>
      </w:r>
    </w:p>
    <w:p>
      <w:pPr>
        <w:pStyle w:val="732"/>
        <w:spacing w:line="240" w:lineRule="auto"/>
      </w:pPr>
      <w:r/>
      <w:bookmarkStart w:id="10" w:name="_Toc169022762"/>
      <w:r/>
      <w:bookmarkEnd w:id="1"/>
      <w:r/>
      <w:bookmarkEnd w:id="0"/>
      <w:r>
        <w:t xml:space="preserve">Инструментарий исследования</w:t>
      </w:r>
      <w:bookmarkEnd w:id="10"/>
      <w:r/>
      <w:r/>
    </w:p>
    <w:p>
      <w:pPr>
        <w:pStyle w:val="733"/>
      </w:pPr>
      <w:r/>
      <w:bookmarkStart w:id="11" w:name="_Toc169022763"/>
      <w:r>
        <w:t xml:space="preserve">Опросный лист (</w:t>
      </w:r>
      <w:r>
        <w:t xml:space="preserve">Анкета</w:t>
      </w:r>
      <w:r>
        <w:t xml:space="preserve"> получателей услуг</w:t>
      </w:r>
      <w:r>
        <w:t xml:space="preserve">)</w:t>
      </w:r>
      <w:bookmarkEnd w:id="11"/>
      <w:r/>
      <w:r/>
    </w:p>
    <w:p>
      <w:pPr>
        <w:pStyle w:val="7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анализу удовлетворенности качеством оказания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социальных услуг в организациях социального обслуживания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Уважаемый участник опроса!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4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Опрос проводится в целях выявления мнения граждан о качестве условий оказания услуг организации социального обслуживания.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4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Пожалуйста, ответьте на вопросы анкеты. Ваше мнение позволит улучшить работу организаций социальной сферы и повысить качество оказания услуг населению.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4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Опрос проводится анонимно. Ваши фамилия, имя, отчество, контактные телефоны указывать необязательно.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4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Конфиденциальность высказанного Вами мнения о качестве условий оказания услуг организациями социальной сферы гарантируется.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4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rPr>
          <w:color w:val="000000"/>
          <w:sz w:val="24"/>
          <w:szCs w:val="24"/>
        </w:rPr>
      </w:pPr>
      <w:r/>
      <w:bookmarkStart w:id="12" w:name="_Toc2141068"/>
      <w:r>
        <w:rPr>
          <w:color w:val="000000"/>
          <w:sz w:val="24"/>
          <w:szCs w:val="24"/>
        </w:rPr>
        <w:t xml:space="preserve">1. При посещении (выборе) организации обращались ли Вы к информации о ее деятельности, размещенной на информационных стендах в помещениях организации?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(переход к вопросу 3)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З. Пользовались ли Вы официальным сайтом организации, чтобы получить информацию о ее деятельности?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(переход к вопросу 5)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Своевременно ли Вам была предоставлена услуга в организации, в которую Вы обратились (в соответствии со сроками, установленными индивидуальной программой предоставления социальных услуг, и прочее)?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Да (услуга предоставлена своевременно или ранее установленного срока)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Нет (услуга предоставлена с опозданием)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</w:t>
      </w:r>
      <w:r>
        <w:rPr>
          <w:color w:val="000000"/>
          <w:sz w:val="24"/>
          <w:szCs w:val="24"/>
        </w:rPr>
        <w:t xml:space="preserve">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</w:t>
      </w:r>
      <w:r>
        <w:rPr>
          <w:color w:val="000000"/>
          <w:sz w:val="24"/>
          <w:szCs w:val="24"/>
        </w:rPr>
        <w:t xml:space="preserve">ичие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 Имеете ли Вы (или лицо, представителем которого Вы являетесь) установленную группу инвалидности?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(переход к вопросу 9)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 Удовлетворены ли Вы доступностью предоставления услуг для инвалидов в организации?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/>
      <w:bookmarkStart w:id="13" w:name="_Hlk6831529"/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bookmarkEnd w:id="13"/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Удовле</w:t>
      </w:r>
      <w:r>
        <w:rPr>
          <w:color w:val="000000"/>
          <w:sz w:val="24"/>
          <w:szCs w:val="24"/>
        </w:rPr>
        <w:t xml:space="preserve">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справочной, приемного отделения и прочие работники)?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(социальные работники, медицинский персонал и прочие работники)?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11. Пользовались ли Вы какими-либо дистанционными способами взаимодействия </w:t>
      </w:r>
      <w:r>
        <w:rPr>
          <w:color w:val="000000"/>
          <w:sz w:val="24"/>
          <w:szCs w:val="24"/>
        </w:rPr>
        <w:t xml:space="preserve">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(переход к вопросу 13)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 Удовлетворены ли Вы доброжелательностью и вежливостью работников </w:t>
      </w:r>
      <w:r>
        <w:rPr>
          <w:color w:val="000000"/>
          <w:sz w:val="24"/>
          <w:szCs w:val="24"/>
        </w:rPr>
        <w:t xml:space="preserve">организации,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 Удовлетворены ли Вы графиком работы организации (подразделения, отдельных специалистов и прочие)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15. Удовлетворены ли Вы в целом условиями оказания услуг в организации?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1.да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2.нет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tabs>
          <w:tab w:val="left" w:pos="851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16. Ваши предложения по улучшению условий оказания услуг в данной организации (укажите):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</w:t>
      </w:r>
      <w:r>
        <w:rPr>
          <w:color w:val="000000"/>
          <w:sz w:val="24"/>
          <w:szCs w:val="24"/>
        </w:rPr>
      </w:r>
    </w:p>
    <w:p>
      <w:pPr>
        <w:ind w:firstLine="709"/>
        <w:rPr>
          <w:color w:val="000000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9525"/>
                <wp:effectExtent l="0" t="1905" r="3175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84835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2" o:spid="_x0000_s12" o:spt="1" type="#_x0000_t1" style="width:460.50pt;height:0.75pt;mso-wrap-distance-left:0.00pt;mso-wrap-distance-top:0.00pt;mso-wrap-distance-right:0.00pt;mso-wrap-distance-bottom:0.00pt;visibility:visible;" filled="f" stroked="f"/>
            </w:pict>
          </mc:Fallback>
        </mc:AlternateContent>
      </w:r>
      <w:r>
        <w:rPr>
          <w:color w:val="000000"/>
          <w:sz w:val="24"/>
          <w:szCs w:val="24"/>
        </w:rPr>
      </w:r>
    </w:p>
    <w:p>
      <w:pPr>
        <w:ind w:firstLine="709"/>
        <w:rPr>
          <w:color w:val="000000"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9525"/>
                <wp:effectExtent l="0" t="0" r="3175" b="381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9531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13" o:spid="_x0000_s13" o:spt="1" type="#_x0000_t1" style="width:468.75pt;height:0.75pt;mso-wrap-distance-left:0.00pt;mso-wrap-distance-top:0.00pt;mso-wrap-distance-right:0.00pt;mso-wrap-distance-bottom:0.00pt;visibility:visible;" filled="f" stroked="f"/>
            </w:pict>
          </mc:Fallback>
        </mc:AlternateConten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Сообщите, пожалуйста, некоторые сведения о себе: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17. Ваш пол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Мужской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Женский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18.Ваш возраст</w:t>
      </w: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95350" cy="19050"/>
                <wp:effectExtent l="19050" t="0" r="0" b="0"/>
                <wp:docPr id="4" name="Picture 110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08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895350" cy="19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70.50pt;height:1.50pt;mso-wrap-distance-left:0.00pt;mso-wrap-distance-top:0.00pt;mso-wrap-distance-right:0.00pt;mso-wrap-distance-bottom:0.00pt;" stroked="f" strokeweight="0.75pt">
                <v:path textboxrect="0,0,0,0"/>
                <v:imagedata r:id="rId15" o:title=""/>
              </v:shape>
            </w:pict>
          </mc:Fallback>
        </mc:AlternateContent>
      </w:r>
      <w:r>
        <w:rPr>
          <w:color w:val="000000"/>
          <w:sz w:val="24"/>
          <w:szCs w:val="24"/>
        </w:rPr>
        <w:t xml:space="preserve">(укажите сколько Вам полных лет)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Благодарим Вас за участие в опросе!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Заполняется организатором опроса или анкетером.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</w:t>
      </w:r>
      <w:r>
        <w:rPr>
          <w:color w:val="000000"/>
          <w:sz w:val="24"/>
          <w:szCs w:val="24"/>
        </w:rPr>
        <w:tab/>
        <w:t xml:space="preserve">Название населенного пункта, в котором проведен опрос (напишите)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</w:t>
      </w:r>
      <w:r>
        <w:rPr>
          <w:color w:val="000000"/>
          <w:sz w:val="24"/>
          <w:szCs w:val="24"/>
        </w:rPr>
        <w:tab/>
        <w:t xml:space="preserve">Полное название организации, в которой проведен опрос получателей услуг (напишите)</w:t>
      </w:r>
      <w:bookmarkEnd w:id="12"/>
      <w:r>
        <w:t xml:space="preserve">      </w:t>
      </w:r>
      <w:r>
        <w:rPr>
          <w:color w:val="000000"/>
          <w:sz w:val="24"/>
          <w:szCs w:val="24"/>
        </w:rPr>
      </w:r>
    </w:p>
    <w:p>
      <w:pPr>
        <w:pStyle w:val="733"/>
        <w:jc w:val="left"/>
      </w:pPr>
      <w:r>
        <w:t xml:space="preserve">        </w:t>
      </w:r>
      <w:r/>
    </w:p>
    <w:p>
      <w:pPr>
        <w:pStyle w:val="733"/>
        <w:jc w:val="left"/>
        <w:rPr>
          <w:sz w:val="24"/>
          <w:szCs w:val="24"/>
        </w:rPr>
      </w:pPr>
      <w:r>
        <w:t xml:space="preserve">                          </w:t>
      </w:r>
      <w:r>
        <w:rPr>
          <w:sz w:val="24"/>
          <w:szCs w:val="24"/>
        </w:rPr>
      </w:r>
    </w:p>
    <w:p>
      <w:pPr>
        <w:jc w:val="both"/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jc w:val="both"/>
        <w:spacing w:line="276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  <w:r>
        <w:rPr>
          <w:sz w:val="24"/>
          <w:szCs w:val="24"/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pStyle w:val="733"/>
        <w:jc w:val="both"/>
        <w:rPr>
          <w:color w:val="auto"/>
        </w:rPr>
      </w:pPr>
      <w:r/>
      <w:bookmarkStart w:id="14" w:name="_Toc52871921"/>
      <w:r/>
      <w:bookmarkStart w:id="15" w:name="_Toc169022765"/>
      <w:r/>
      <w:bookmarkStart w:id="16" w:name="_Hlk52861031"/>
      <w:r>
        <w:rPr>
          <w:color w:val="auto"/>
        </w:rPr>
        <w:t xml:space="preserve">Чек-лист</w:t>
      </w:r>
      <w:r>
        <w:rPr>
          <w:color w:val="auto"/>
        </w:rPr>
        <w:t xml:space="preserve"> для сбора информации о качестве условий оказания услуг организациями – для экспертной оценки качества условий предоставления услуг</w:t>
      </w:r>
      <w:bookmarkEnd w:id="14"/>
      <w:r/>
      <w:bookmarkEnd w:id="15"/>
      <w:r>
        <w:rPr>
          <w:color w:val="auto"/>
        </w:rPr>
        <w:t xml:space="preserve"> </w:t>
      </w:r>
      <w:bookmarkEnd w:id="16"/>
      <w:r/>
      <w:r>
        <w:rPr>
          <w:color w:val="auto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Наименование организации____________________________________</w:t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Адрес_______________________________________________________</w:t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Формы обслуживания: 1.стационарная 2. полустационарная 3. надомная</w:t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Количество получателей услуг_________________________________</w:t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т.ч. имеющих инвалидность __________________________________</w:t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Целевые категории получателей услуг (если имеются): ____________________________________________________________________________</w:t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Критерий «Открытость и доступность информации об учреждении».</w:t>
      </w:r>
      <w:r>
        <w:rPr>
          <w:b/>
          <w:sz w:val="24"/>
          <w:szCs w:val="24"/>
        </w:rPr>
      </w:r>
    </w:p>
    <w:p>
      <w:pPr>
        <w:ind w:firstLine="709"/>
        <w:jc w:val="center"/>
        <w:tabs>
          <w:tab w:val="left" w:pos="851" w:leader="none"/>
          <w:tab w:val="left" w:pos="993" w:leader="none"/>
          <w:tab w:val="left" w:pos="141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off"/>
        <w:tabs>
          <w:tab w:val="left" w:pos="851" w:leader="none"/>
          <w:tab w:val="left" w:pos="993" w:leader="none"/>
          <w:tab w:val="left" w:pos="1418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1.1.Укажите количество материалов, размещенных на официальном сайте и информационных стендах организации:</w:t>
      </w:r>
      <w:r>
        <w:rPr>
          <w:color w:val="000000"/>
          <w:sz w:val="24"/>
          <w:szCs w:val="24"/>
        </w:rPr>
      </w:r>
    </w:p>
    <w:p>
      <w:pPr>
        <w:ind w:left="786"/>
        <w:widowControl w:val="off"/>
        <w:tabs>
          <w:tab w:val="left" w:pos="851" w:leader="none"/>
          <w:tab w:val="left" w:pos="993" w:leader="none"/>
          <w:tab w:val="left" w:pos="1418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tbl>
      <w:tblPr>
        <w:tblW w:w="528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321"/>
        <w:gridCol w:w="2297"/>
        <w:gridCol w:w="229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Перечень информации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на информационных стендах в помещении организации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на официальном сайте организации в сети "Интернет»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ind w:left="360" w:right="-108"/>
              <w:jc w:val="center"/>
              <w:widowControl w:val="off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ind w:left="360" w:right="-108"/>
              <w:jc w:val="center"/>
              <w:widowControl w:val="off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о дате государственной регистрации организации социального обслуживания с указанием числа, месяца и года регистрации;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о месте нахождения организации социального обслуживания, ее филиалах (при их наличии) с указанием адреса и схемы проезда;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о режиме, графике работы с указанием дней и часов приема, перерыва на обед;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7) о структуре и об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</w:t>
            </w:r>
            <w:r>
              <w:rPr>
                <w:sz w:val="24"/>
                <w:szCs w:val="24"/>
              </w:rPr>
              <w:t xml:space="preserve">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</w:t>
            </w:r>
            <w:r>
              <w:rPr>
                <w:sz w:val="24"/>
                <w:szCs w:val="24"/>
              </w:rPr>
              <w:t xml:space="preserve">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обслуживания;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3a3a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х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8) о материально-техническом обеспечении предоставления социальных услуг (наличии оборудованных помещений для предоставле</w:t>
            </w:r>
            <w:r>
              <w:rPr>
                <w:sz w:val="24"/>
                <w:szCs w:val="24"/>
              </w:rPr>
              <w:t xml:space="preserve">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9) о форме социального обслуживания, в которой организация предоставляет социальные услуги (стационарной, полустационарной, на дому);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3a3a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х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10) о видах социальных услуг, предоставляемых организацией социального обс</w:t>
            </w:r>
            <w:r>
              <w:rPr>
                <w:sz w:val="24"/>
                <w:szCs w:val="24"/>
              </w:rPr>
              <w:t xml:space="preserve">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услуги);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3a3a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х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11) о порядке и</w:t>
            </w:r>
            <w:r>
              <w:rPr>
                <w:sz w:val="24"/>
                <w:szCs w:val="24"/>
              </w:rPr>
              <w:t xml:space="preserve"> об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</w:t>
            </w:r>
            <w:r>
              <w:rPr>
                <w:sz w:val="24"/>
                <w:szCs w:val="24"/>
              </w:rPr>
              <w:t xml:space="preserve">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бесплатно;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3a3a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х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12)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</w:t>
            </w:r>
            <w:r>
              <w:rPr>
                <w:sz w:val="24"/>
                <w:szCs w:val="24"/>
              </w:rPr>
              <w:t xml:space="preserve">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лиц;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3a3a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х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13)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</w:t>
            </w:r>
            <w:r>
              <w:rPr>
                <w:sz w:val="24"/>
                <w:szCs w:val="24"/>
              </w:rPr>
              <w:t xml:space="preserve">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14) об </w:t>
            </w:r>
            <w:r>
              <w:rPr>
                <w:sz w:val="24"/>
                <w:szCs w:val="24"/>
              </w:rPr>
              <w:t xml:space="preserve">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15) о наличии лицензий на осуществление деятельности, подлежащей лицензированию в соответствии с законодательством Российской Федерации (с приложением </w:t>
            </w:r>
            <w:r>
              <w:rPr>
                <w:sz w:val="24"/>
                <w:szCs w:val="24"/>
              </w:rPr>
              <w:t xml:space="preserve">электронного образа документов);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16) о финансово-хозяйственной деятельности (с приложением электронного образа плана финансово-хозяйственной деятельности);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17) 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18)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19) 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20) об иной информации, которая размещается, опубликовывается по решению организации социального обслуживания и (или) размещение, опубликование которой является обязательным в соответствии с законодательством Российской Федерации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contextualSpacing/>
              <w:ind w:left="360"/>
              <w:jc w:val="center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96" w:type="pct"/>
            <w:textDirection w:val="lrTb"/>
            <w:noWrap w:val="false"/>
          </w:tcPr>
          <w:p>
            <w:pPr>
              <w:jc w:val="right"/>
              <w:widowControl w:val="off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Всего 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2" w:type="pct"/>
            <w:textDirection w:val="lrTb"/>
            <w:noWrap w:val="false"/>
          </w:tcPr>
          <w:p>
            <w:pPr>
              <w:ind w:left="360"/>
              <w:jc w:val="center"/>
              <w:widowControl w:val="off"/>
              <w:tabs>
                <w:tab w:val="left" w:pos="459" w:leader="none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Из 15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3" w:type="pct"/>
            <w:textDirection w:val="lrTb"/>
            <w:noWrap w:val="false"/>
          </w:tcPr>
          <w:p>
            <w:pPr>
              <w:ind w:left="360"/>
              <w:jc w:val="center"/>
              <w:widowControl w:val="off"/>
              <w:tabs>
                <w:tab w:val="left" w:pos="459" w:leader="none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Из 20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7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7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Показатель № 1.2:</w:t>
      </w:r>
      <w:r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tbl>
      <w:tblPr>
        <w:tblW w:w="1046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8"/>
        <w:gridCol w:w="1529"/>
        <w:gridCol w:w="1276"/>
      </w:tblGrid>
      <w:tr>
        <w:tblPrEx/>
        <w:trPr>
          <w:trHeight w:val="8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tabs>
                <w:tab w:val="left" w:pos="289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8" w:type="dxa"/>
            <w:vAlign w:val="center"/>
            <w:textDirection w:val="lrTb"/>
            <w:noWrap w:val="false"/>
          </w:tcPr>
          <w:p>
            <w:pPr>
              <w:pStyle w:val="7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Параметры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о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656" w:type="dxa"/>
            <w:vAlign w:val="center"/>
            <w:textDirection w:val="lrTb"/>
            <w:noWrap w:val="false"/>
          </w:tcPr>
          <w:p>
            <w:pPr>
              <w:pStyle w:val="767"/>
              <w:ind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2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Наличие на сайте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Есть-1, Нет-0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Функционировании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Есть-1, Нет-0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5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88" w:type="dxa"/>
            <w:vAlign w:val="center"/>
            <w:textDirection w:val="lrTb"/>
            <w:noWrap w:val="false"/>
          </w:tcPr>
          <w:p>
            <w:pPr>
              <w:pStyle w:val="7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2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5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center"/>
            <w:textDirection w:val="lrTb"/>
            <w:noWrap w:val="false"/>
          </w:tcPr>
          <w:p>
            <w:pPr>
              <w:pStyle w:val="7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электронной почты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3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5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8" w:type="dxa"/>
            <w:vAlign w:val="center"/>
            <w:textDirection w:val="lrTb"/>
            <w:noWrap w:val="false"/>
          </w:tcPr>
          <w:p>
            <w:pPr>
              <w:pStyle w:val="7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72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5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8" w:type="dxa"/>
            <w:vAlign w:val="center"/>
            <w:textDirection w:val="lrTb"/>
            <w:noWrap w:val="false"/>
          </w:tcPr>
          <w:p>
            <w:pPr>
              <w:pStyle w:val="767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раздела «Часто задаваемые вопросы»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1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5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8" w:type="dxa"/>
            <w:vAlign w:val="center"/>
            <w:textDirection w:val="lrTb"/>
            <w:noWrap w:val="false"/>
          </w:tcPr>
          <w:p>
            <w:pPr>
              <w:pStyle w:val="7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7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Критерий «Комфортность условий предоставления услуг, в том числе время ожидания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предоставления услуг».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768"/>
        <w:rPr>
          <w:b/>
          <w:color w:val="auto"/>
        </w:rPr>
      </w:pPr>
      <w:r>
        <w:rPr>
          <w:b/>
          <w:color w:val="auto"/>
        </w:rPr>
      </w:r>
      <w:r>
        <w:rPr>
          <w:b/>
          <w:color w:val="auto"/>
        </w:rPr>
      </w:r>
    </w:p>
    <w:p>
      <w:pPr>
        <w:pStyle w:val="7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pStyle w:val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Показатель № 2.1:</w:t>
      </w:r>
      <w:r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(учреждении) комфортных условий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для предоставления услуг.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tbl>
      <w:tblPr>
        <w:tblW w:w="1046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7371"/>
        <w:gridCol w:w="2410"/>
      </w:tblGrid>
      <w:tr>
        <w:tblPrEx/>
        <w:trPr>
          <w:trHeight w:val="4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tabs>
                <w:tab w:val="left" w:pos="289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</w:r>
          </w:p>
          <w:p>
            <w:pPr>
              <w:tabs>
                <w:tab w:val="left" w:pos="289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pStyle w:val="7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Параметры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о выполнении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Есть-1, Нет-0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6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комфортной зоны отдыха (ожидания) оборудованной соответствующей мебелью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6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и понятность навигации внутри организации 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6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и доступность питьевой воды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6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и доступность санитарно-гигиенических помещений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6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санитарное состояние помещений организации 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6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транспортная доступность (доступность общественного транспорта и наличие парковки)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6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доступность записи на получение услуги (по телефону, </w:t>
            </w:r>
            <w:r>
              <w:rPr>
                <w:color w:val="000000"/>
                <w:sz w:val="24"/>
                <w:szCs w:val="24"/>
              </w:rPr>
              <w:br/>
              <w:t xml:space="preserve">на официальном сайте организации (учреждения)с использованием сети «Интернет», посредствам Единого портала государственных и муниципальных услуг, при личном посещении в регистратуре или у специалиста организации (учреждения) и пр.)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Показатель № 2.2:</w:t>
      </w:r>
      <w:r>
        <w:rPr>
          <w:rFonts w:ascii="Times New Roman" w:hAnsi="Times New Roman" w:cs="Times New Roman"/>
          <w:i/>
          <w:sz w:val="24"/>
          <w:szCs w:val="24"/>
        </w:rPr>
        <w:t xml:space="preserve">Время ожидания предоставления услуги (своевременность предоставления услуги в соответствии с записью на прием к специалисту организации (учреждения) для получения услуги, графиком прихода социального работника на дом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и пр.).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7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046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342"/>
        <w:gridCol w:w="2410"/>
      </w:tblGrid>
      <w:tr>
        <w:tblPrEx/>
        <w:trPr>
          <w:trHeight w:val="4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tabs>
                <w:tab w:val="left" w:pos="289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</w:r>
          </w:p>
          <w:p>
            <w:pPr>
              <w:tabs>
                <w:tab w:val="left" w:pos="289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42" w:type="dxa"/>
            <w:vAlign w:val="center"/>
            <w:textDirection w:val="lrTb"/>
            <w:noWrap w:val="false"/>
          </w:tcPr>
          <w:p>
            <w:pPr>
              <w:pStyle w:val="7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Параметры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  <w:r>
              <w:rPr>
                <w:b/>
                <w:bCs/>
                <w:sz w:val="24"/>
                <w:szCs w:val="24"/>
              </w:rPr>
              <w:br/>
              <w:t xml:space="preserve">о выполнении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5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7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7342" w:type="dxa"/>
            <w:textDirection w:val="lrTb"/>
            <w:noWrap w:val="false"/>
          </w:tcPr>
          <w:p>
            <w:pPr>
              <w:pStyle w:val="7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превышает установленный срок ожидания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3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7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7342" w:type="dxa"/>
            <w:textDirection w:val="lrTb"/>
            <w:noWrap w:val="false"/>
          </w:tcPr>
          <w:p>
            <w:pPr>
              <w:pStyle w:val="7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равен установленному сроку ожидания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7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7342" w:type="dxa"/>
            <w:textDirection w:val="lrTb"/>
            <w:noWrap w:val="false"/>
          </w:tcPr>
          <w:p>
            <w:pPr>
              <w:pStyle w:val="7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меньше установленного срока ожидания  на 1 день (на 1 час)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7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7342" w:type="dxa"/>
            <w:textDirection w:val="lrTb"/>
            <w:noWrap w:val="false"/>
          </w:tcPr>
          <w:p>
            <w:pPr>
              <w:pStyle w:val="7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меньше установленного срока ожидания  на 2 дня (на  2 часа)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7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73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меньше установленного срока ожидания  на 3 дня (на 3 часа)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7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734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меньше установленного срока ожидания не менее, чем на ½ срока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3. Критерий «Доступность услуг для инвалидов».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7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Показатель № 3.1:</w:t>
      </w:r>
      <w:r>
        <w:rPr>
          <w:rFonts w:ascii="Times New Roman" w:hAnsi="Times New Roman" w:cs="Times New Roman"/>
          <w:i/>
          <w:sz w:val="24"/>
          <w:szCs w:val="24"/>
        </w:rPr>
        <w:t xml:space="preserve"> Оборудование помещений организации и прилегающей к организации территории с учетом доступности для инвалидов.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tbl>
      <w:tblPr>
        <w:tblW w:w="10461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7371"/>
        <w:gridCol w:w="2410"/>
      </w:tblGrid>
      <w:tr>
        <w:tblPrEx/>
        <w:trPr>
          <w:trHeight w:val="4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tabs>
                <w:tab w:val="left" w:pos="289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</w:r>
          </w:p>
          <w:p>
            <w:pPr>
              <w:tabs>
                <w:tab w:val="left" w:pos="289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pStyle w:val="7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Параметры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  <w:r>
              <w:rPr>
                <w:b/>
                <w:bCs/>
                <w:sz w:val="24"/>
                <w:szCs w:val="24"/>
              </w:rPr>
              <w:br/>
              <w:t xml:space="preserve">о выполнении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Есть-1, Нет-0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9"/>
              </w:numPr>
              <w:ind w:hanging="578"/>
              <w:spacing w:before="120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pStyle w:val="7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9"/>
              </w:numPr>
              <w:ind w:hanging="578"/>
              <w:spacing w:before="120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pStyle w:val="7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9"/>
              </w:numPr>
              <w:ind w:hanging="578"/>
              <w:spacing w:before="120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pStyle w:val="7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9"/>
              </w:numPr>
              <w:ind w:hanging="578"/>
              <w:spacing w:before="120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pStyle w:val="7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сменных кресел-колясок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9"/>
              </w:numPr>
              <w:ind w:hanging="578"/>
              <w:spacing w:before="120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специально оборудованных для инвалидов санитарно-гигиенических помещений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Показатель № 3.2:</w:t>
      </w:r>
      <w:r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условий доступности, позволяющих инвалидам получать услуги наравне с другими, включая: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tbl>
      <w:tblPr>
        <w:tblW w:w="1049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400"/>
        <w:gridCol w:w="2381"/>
      </w:tblGrid>
      <w:tr>
        <w:tblPrEx/>
        <w:trPr>
          <w:trHeight w:val="4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tabs>
                <w:tab w:val="left" w:pos="289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</w:r>
          </w:p>
          <w:p>
            <w:pPr>
              <w:tabs>
                <w:tab w:val="left" w:pos="289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0" w:type="dxa"/>
            <w:vAlign w:val="center"/>
            <w:textDirection w:val="lrTb"/>
            <w:noWrap w:val="false"/>
          </w:tcPr>
          <w:p>
            <w:pPr>
              <w:pStyle w:val="7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Параметры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  <w:r>
              <w:rPr>
                <w:b/>
                <w:bCs/>
                <w:sz w:val="24"/>
                <w:szCs w:val="24"/>
              </w:rPr>
              <w:br/>
              <w:t xml:space="preserve">о выполнении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Есть-1, Нет-0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8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400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дублирование для инвалидов по слуху и зрению звуковой и зрительной информации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8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0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8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0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8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0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альтернативной версии официального сайта организации для инвалидов по зрению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8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0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744"/>
              <w:numPr>
                <w:ilvl w:val="0"/>
                <w:numId w:val="18"/>
              </w:numPr>
              <w:ind w:left="0" w:firstLine="0"/>
              <w:jc w:val="center"/>
              <w:tabs>
                <w:tab w:val="left" w:pos="289" w:leader="none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0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возможности предоставления услуги в дистанционном режиме или на дому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8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rFonts w:ascii="PT Astra Serif" w:hAnsi="PT Astra Serif" w:eastAsia="Lucida Sans Unicode"/>
          <w:color w:val="000000"/>
          <w:sz w:val="28"/>
          <w:szCs w:val="28"/>
          <w:lang w:bidi="en-US"/>
        </w:rPr>
      </w:pPr>
      <w:r>
        <w:rPr>
          <w:rFonts w:ascii="PT Astra Serif" w:hAnsi="PT Astra Serif" w:eastAsia="Lucida Sans Unicode"/>
          <w:color w:val="000000"/>
          <w:sz w:val="28"/>
          <w:szCs w:val="28"/>
          <w:lang w:bidi="en-US"/>
        </w:rPr>
      </w:r>
      <w:r>
        <w:rPr>
          <w:rFonts w:ascii="PT Astra Serif" w:hAnsi="PT Astra Serif" w:eastAsia="Lucida Sans Unicode"/>
          <w:color w:val="000000"/>
          <w:sz w:val="28"/>
          <w:szCs w:val="28"/>
          <w:lang w:bidi="en-US"/>
        </w:rPr>
      </w:r>
    </w:p>
    <w:p>
      <w:pPr>
        <w:ind w:firstLine="709"/>
        <w:jc w:val="center"/>
        <w:tabs>
          <w:tab w:val="left" w:pos="851" w:leader="none"/>
          <w:tab w:val="left" w:pos="993" w:leader="none"/>
          <w:tab w:val="left" w:pos="1418" w:leader="none"/>
        </w:tabs>
        <w:rPr>
          <w:sz w:val="10"/>
          <w:szCs w:val="24"/>
          <w:lang w:eastAsia="ar-SA"/>
        </w:rPr>
      </w:pPr>
      <w:r>
        <w:rPr>
          <w:sz w:val="10"/>
          <w:szCs w:val="24"/>
          <w:lang w:eastAsia="ar-SA"/>
        </w:rPr>
      </w:r>
      <w:r>
        <w:rPr>
          <w:sz w:val="10"/>
          <w:szCs w:val="24"/>
          <w:lang w:eastAsia="ar-SA"/>
        </w:rPr>
      </w:r>
    </w:p>
    <w:p>
      <w:pPr>
        <w:pStyle w:val="733"/>
      </w:pPr>
      <w:r/>
      <w:r/>
    </w:p>
    <w:p>
      <w:pPr>
        <w:pStyle w:val="733"/>
      </w:pPr>
      <w:r/>
      <w:r/>
    </w:p>
    <w:p>
      <w:pPr>
        <w:pStyle w:val="733"/>
      </w:pPr>
      <w:r/>
      <w:r/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pStyle w:val="733"/>
        <w:rPr>
          <w:color w:val="auto"/>
        </w:rPr>
      </w:pPr>
      <w:r/>
      <w:bookmarkStart w:id="17" w:name="_Toc169022766"/>
      <w:r>
        <w:rPr>
          <w:color w:val="auto"/>
        </w:rPr>
        <w:t xml:space="preserve">Перечень организаций социального обслуживания Новосибирской области, в отношении которых проводится независимая оценка качест</w:t>
      </w:r>
      <w:r>
        <w:rPr>
          <w:color w:val="auto"/>
        </w:rPr>
        <w:t xml:space="preserve">ва условий оказания услуг в 2026</w:t>
      </w:r>
      <w:r>
        <w:rPr>
          <w:color w:val="auto"/>
        </w:rPr>
        <w:t xml:space="preserve"> году</w:t>
      </w:r>
      <w:bookmarkEnd w:id="17"/>
      <w:r/>
      <w:r>
        <w:rPr>
          <w:color w:val="auto"/>
        </w:rPr>
      </w:r>
    </w:p>
    <w:p>
      <w:pPr>
        <w:ind w:left="-284" w:right="-142"/>
        <w:jc w:val="center"/>
        <w:rPr>
          <w:sz w:val="10"/>
          <w:szCs w:val="24"/>
        </w:rPr>
      </w:pPr>
      <w:r>
        <w:rPr>
          <w:sz w:val="10"/>
          <w:szCs w:val="24"/>
        </w:rPr>
      </w:r>
      <w:r>
        <w:rPr>
          <w:sz w:val="10"/>
          <w:szCs w:val="24"/>
        </w:rPr>
      </w:r>
    </w:p>
    <w:tbl>
      <w:tblPr>
        <w:tblW w:w="992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9261"/>
      </w:tblGrid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№</w:t>
            </w:r>
            <w:r/>
          </w:p>
          <w:p>
            <w:pPr>
              <w:jc w:val="both"/>
            </w:pPr>
            <w:r>
              <w:t xml:space="preserve">п/п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организации социального обслуживания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1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МБУ «Комплексный центр социального обслуживания населения Баганского района» ИНН: 5417360527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2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МБУ «Комплексный центр социального обслуживания населения Барабинского района Новосибирской области» ИНН: 5451110365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3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МКУ «Комплексный центр социального обслуживания населения Венгеровского муниципального округа» ИНН: 5419000784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4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МКУ «Комплексный центр социального обслуживания населения Доволенского муниципального округа Новосибирской области» ИНН: 5420103791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5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МБУ «Комплексный центр социального обслуживания населения Карасукского муниципального округа Новосибирской области» ИНН: 5422112664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6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МКУ «Комплексный центр социального обслуживания населения Каргатского района</w:t>
            </w:r>
            <w:hyperlink r:id="rId16" w:tooltip="http://kolivankcson.ru/" w:history="1">
              <w:r>
                <w:rPr>
                  <w:color w:val="333333"/>
                  <w:sz w:val="24"/>
                  <w:szCs w:val="24"/>
                  <w:highlight w:val="white"/>
                </w:rPr>
                <w:t xml:space="preserve">»</w:t>
              </w:r>
            </w:hyperlink>
            <w:r>
              <w:rPr>
                <w:color w:val="333333"/>
                <w:sz w:val="24"/>
                <w:szCs w:val="24"/>
                <w:highlight w:val="white"/>
              </w:rPr>
              <w:t xml:space="preserve"> ИНН: 5423000794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7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МБУ Кочковского района Новосибирской области «Комплексный центр социального обслуживания населения» ИНН: 5426103967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8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МБУ «Комплексный центр социального обслуживания населения» Куйбышевского района ИНН: 5452109700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9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МАУ «Комплексный центр социального обслуживания населения Купинского района» ИНН: 5429108890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10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МКУ «Комплексный центр социального обслуживания населения Кыштовского района Новосибирской области» ИНН: 5430101225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11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МБУ «Комплексный центр социального обслуживания населения Маслянинского муниципального округа Новосибирской области» ИНН: 5431200010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12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МКУ Ордынского района Новосибирской области «Комплексный центр социального обслуживания населения» ИНН: 5434114828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13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МКУ Северного муниципального округа Новосибирской области «Комплексный центр социального обслуживания населения Северного муниципального округа» </w:t>
            </w:r>
            <w:r>
              <w:rPr>
                <w:color w:val="333333"/>
                <w:sz w:val="24"/>
                <w:szCs w:val="24"/>
                <w:highlight w:val="white"/>
              </w:rPr>
            </w:r>
          </w:p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ИНН: 5435111763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14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МКУ «Центр социального обслуживания населения» Убинского муниципального округа Новосибирской области ИНН: 5439102255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15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МБУ «Комплексный центр социального обслуживания населения» Усть-Таркского района Новосибирской области ИНН: 5416104231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16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МБУ «Комплексный центр социального обслуживания населения Чановского </w:t>
            </w:r>
            <w:r>
              <w:rPr>
                <w:color w:val="333333"/>
                <w:sz w:val="24"/>
                <w:szCs w:val="24"/>
              </w:rPr>
              <w:t xml:space="preserve">муниципального округа </w:t>
            </w:r>
            <w:r>
              <w:rPr>
                <w:color w:val="333333"/>
                <w:sz w:val="24"/>
                <w:szCs w:val="24"/>
                <w:highlight w:val="white"/>
              </w:rPr>
              <w:t xml:space="preserve">Новосибирской области» ИНН: 5415105761</w:t>
            </w:r>
            <w:r/>
          </w:p>
        </w:tc>
      </w:tr>
      <w:tr>
        <w:tblPrEx/>
        <w:trPr/>
        <w:tc>
          <w:tcPr>
            <w:tcW w:w="662" w:type="dxa"/>
            <w:textDirection w:val="lrTb"/>
            <w:noWrap w:val="false"/>
          </w:tcPr>
          <w:p>
            <w:pPr>
              <w:jc w:val="both"/>
            </w:pPr>
            <w:r>
              <w:t xml:space="preserve">17</w:t>
            </w:r>
            <w:r/>
          </w:p>
        </w:tc>
        <w:tc>
          <w:tcPr>
            <w:tcW w:w="9261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  <w:highlight w:val="white"/>
              </w:rPr>
              <w:t xml:space="preserve">МАУ города Новосибирска «Социально-оздоровительный центр «Территория развития» ИНН: 5406603827</w:t>
            </w:r>
            <w:r/>
          </w:p>
        </w:tc>
      </w:tr>
    </w:tbl>
    <w:p>
      <w:pPr>
        <w:tabs>
          <w:tab w:val="left" w:pos="4395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sectPr>
      <w:headerReference w:type="default" r:id="rId10"/>
      <w:footnotePr/>
      <w:endnotePr/>
      <w:type w:val="nextPage"/>
      <w:pgSz w:w="11906" w:h="16840" w:orient="portrait"/>
      <w:pgMar w:top="425" w:right="709" w:bottom="284" w:left="851" w:header="709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ymbol">
    <w:panose1 w:val="05010000000000000000"/>
  </w:font>
  <w:font w:name="Wingdings">
    <w:panose1 w:val="05010000000000000000"/>
  </w:font>
  <w:font w:name="Andale Sans UI">
    <w:panose1 w:val="02000603000000000000"/>
  </w:font>
  <w:font w:name="Tahoma">
    <w:panose1 w:val="020B0604030504040204"/>
  </w:font>
  <w:font w:name="Times New Roman CYR">
    <w:panose1 w:val="02020603050405020304"/>
  </w:font>
  <w:font w:name="Courier New">
    <w:panose1 w:val="020703090202050204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2</w:t>
    </w:r>
    <w:r>
      <w:rPr>
        <w:sz w:val="24"/>
        <w:szCs w:val="24"/>
      </w:rPr>
      <w:fldChar w:fldCharType="end"/>
    </w:r>
    <w:r>
      <w:rPr>
        <w:sz w:val="24"/>
        <w:szCs w:val="24"/>
      </w:rPr>
    </w:r>
  </w:p>
  <w:p>
    <w:pPr>
      <w:pStyle w:val="74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18</w:t>
    </w:r>
    <w:r>
      <w:rPr>
        <w:sz w:val="24"/>
        <w:szCs w:val="24"/>
      </w:rPr>
      <w:fldChar w:fldCharType="end"/>
    </w:r>
    <w:r>
      <w:rPr>
        <w:sz w:val="24"/>
        <w:szCs w:val="24"/>
      </w:rPr>
    </w:r>
  </w:p>
  <w:p>
    <w:pPr>
      <w:pStyle w:val="7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pStyle w:val="753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"/>
      <w:lvlJc w:val="left"/>
      <w:pPr>
        <w:ind w:left="360" w:hanging="360"/>
      </w:pPr>
      <w:rPr>
        <w:rFonts w:hint="default" w:ascii="Symbol" w:hAnsi="Symbol"/>
        <w:b/>
        <w:sz w:val="28"/>
        <w:szCs w:val="28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  <w:b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lang w:val="ru-RU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 w:val="false"/>
      <w:suff w:val="tab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 w:ascii="Times New Roman" w:hAnsi="Times New Roman" w:eastAsia="Calibri" w:cs="Times New Roman"/>
        <w:b/>
        <w:color w:val="000000"/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996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3206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3991" w:hanging="144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4776" w:hanging="180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201" w:hanging="180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986" w:hanging="2160"/>
      </w:pPr>
      <w:rPr>
        <w:rFonts w:hint="default"/>
        <w:b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russianLower"/>
      <w:isLgl w:val="false"/>
      <w:suff w:val="tab"/>
      <w:lvlText w:val="%4)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9"/>
  </w:num>
  <w:num w:numId="5">
    <w:abstractNumId w:val="19"/>
  </w:num>
  <w:num w:numId="6">
    <w:abstractNumId w:val="0"/>
  </w:num>
  <w:num w:numId="7">
    <w:abstractNumId w:val="3"/>
  </w:num>
  <w:num w:numId="8">
    <w:abstractNumId w:val="20"/>
  </w:num>
  <w:num w:numId="9">
    <w:abstractNumId w:val="13"/>
  </w:num>
  <w:num w:numId="10">
    <w:abstractNumId w:val="16"/>
  </w:num>
  <w:num w:numId="11">
    <w:abstractNumId w:val="1"/>
  </w:num>
  <w:num w:numId="12">
    <w:abstractNumId w:val="8"/>
  </w:num>
  <w:num w:numId="13">
    <w:abstractNumId w:val="7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6"/>
  </w:num>
  <w:num w:numId="17">
    <w:abstractNumId w:val="10"/>
  </w:num>
  <w:num w:numId="18">
    <w:abstractNumId w:val="17"/>
  </w:num>
  <w:num w:numId="19">
    <w:abstractNumId w:val="12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6"/>
    <w:link w:val="73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36"/>
    <w:link w:val="73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36"/>
    <w:link w:val="73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36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31"/>
    <w:next w:val="73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3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31"/>
    <w:next w:val="73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3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31"/>
    <w:next w:val="73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3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31"/>
    <w:next w:val="73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3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31"/>
    <w:next w:val="73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3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31"/>
    <w:next w:val="73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36"/>
    <w:link w:val="34"/>
    <w:uiPriority w:val="10"/>
    <w:rPr>
      <w:sz w:val="48"/>
      <w:szCs w:val="48"/>
    </w:rPr>
  </w:style>
  <w:style w:type="paragraph" w:styleId="36">
    <w:name w:val="Subtitle"/>
    <w:basedOn w:val="731"/>
    <w:next w:val="73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36"/>
    <w:link w:val="36"/>
    <w:uiPriority w:val="11"/>
    <w:rPr>
      <w:sz w:val="24"/>
      <w:szCs w:val="24"/>
    </w:rPr>
  </w:style>
  <w:style w:type="paragraph" w:styleId="38">
    <w:name w:val="Quote"/>
    <w:basedOn w:val="731"/>
    <w:next w:val="7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31"/>
    <w:next w:val="7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36"/>
    <w:link w:val="740"/>
    <w:uiPriority w:val="99"/>
  </w:style>
  <w:style w:type="character" w:styleId="45">
    <w:name w:val="Footer Char"/>
    <w:basedOn w:val="736"/>
    <w:link w:val="762"/>
    <w:uiPriority w:val="99"/>
  </w:style>
  <w:style w:type="paragraph" w:styleId="46">
    <w:name w:val="Caption"/>
    <w:basedOn w:val="731"/>
    <w:next w:val="7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62"/>
    <w:uiPriority w:val="99"/>
  </w:style>
  <w:style w:type="table" w:styleId="49">
    <w:name w:val="Table Grid Light"/>
    <w:basedOn w:val="7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e5f5d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e5f5d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d1e5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d1e5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ef0c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ef0c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3f3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3f3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e2e7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e2e7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c8f7f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c8f7f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e5f5d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e5f5d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d1e5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d1e5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ef0c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ef0c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3f3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3f3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e2e7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e2e7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c8f7f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c8f7f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e6f5d8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e6f5d8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8bd44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d1e5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d1e5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273b2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ef0c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ef0c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fdb60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3f3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3f3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4fdbfe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e2e7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e2e7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738ac8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c8f7f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c8f7f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1ab39f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e5f5d6" w:themeFill="accent1" w:themeFillTint="34"/>
    </w:tblPr>
    <w:tblStylePr w:type="band1Horz">
      <w:tcPr>
        <w:shd w:val="clear" w:color="ffffff" w:themeColor="accent1" w:themeTint="75" w:fill="c4e9a4" w:themeFill="accent1" w:themeFillTint="75"/>
      </w:tcPr>
    </w:tblStylePr>
    <w:tblStylePr w:type="band1Vert">
      <w:tcPr>
        <w:shd w:val="clear" w:color="ffffff" w:themeColor="accent1" w:themeTint="75" w:fill="c4e9a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7fd13b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7fd13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7fd13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7fd13b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d1e5" w:themeFill="accent2" w:themeFillTint="32"/>
    </w:tblPr>
    <w:tblStylePr w:type="band1Horz">
      <w:tcPr>
        <w:shd w:val="clear" w:color="ffffff" w:themeColor="accent2" w:themeTint="75" w:fill="f592c3" w:themeFill="accent2" w:themeFillTint="75"/>
      </w:tcPr>
    </w:tblStylePr>
    <w:tblStylePr w:type="band1Vert">
      <w:tcPr>
        <w:shd w:val="clear" w:color="ffffff" w:themeColor="accent2" w:themeTint="75" w:fill="f592c3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a157a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a157a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a157a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a157a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f0cd" w:themeFill="accent3" w:themeFillTint="34"/>
    </w:tblPr>
    <w:tblStylePr w:type="band1Horz">
      <w:tcPr>
        <w:shd w:val="clear" w:color="ffffff" w:themeColor="accent3" w:themeTint="75" w:fill="fedd8f" w:themeFill="accent3" w:themeFillTint="75"/>
      </w:tcPr>
    </w:tblStylePr>
    <w:tblStylePr w:type="band1Vert">
      <w:tcPr>
        <w:shd w:val="clear" w:color="ffffff" w:themeColor="accent3" w:themeTint="75" w:fill="fedd8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feb80a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feb80a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feb80a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feb80a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3f3ff" w:themeFill="accent4" w:themeFillTint="34"/>
    </w:tblPr>
    <w:tblStylePr w:type="band1Horz">
      <w:tcPr>
        <w:shd w:val="clear" w:color="ffffff" w:themeColor="accent4" w:themeTint="75" w:fill="79e4ff" w:themeFill="accent4" w:themeFillTint="75"/>
      </w:tcPr>
    </w:tblStylePr>
    <w:tblStylePr w:type="band1Vert">
      <w:tcPr>
        <w:shd w:val="clear" w:color="ffffff" w:themeColor="accent4" w:themeTint="75" w:fill="79e4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0addc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0addc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0addc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0addc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e2e7f3" w:themeFill="accent5" w:themeFillTint="34"/>
    </w:tblPr>
    <w:tblStylePr w:type="band1Horz">
      <w:tcPr>
        <w:shd w:val="clear" w:color="ffffff" w:themeColor="accent5" w:themeTint="75" w:fill="bec9e5" w:themeFill="accent5" w:themeFillTint="75"/>
      </w:tcPr>
    </w:tblStylePr>
    <w:tblStylePr w:type="band1Vert">
      <w:tcPr>
        <w:shd w:val="clear" w:color="ffffff" w:themeColor="accent5" w:themeTint="75" w:fill="bec9e5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738ac8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738ac8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738ac8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738ac8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c8f7f0" w:themeFill="accent6" w:themeFillTint="34"/>
    </w:tblPr>
    <w:tblStylePr w:type="band1Horz">
      <w:tcPr>
        <w:shd w:val="clear" w:color="ffffff" w:themeColor="accent6" w:themeTint="75" w:fill="84eddd" w:themeFill="accent6" w:themeFillTint="75"/>
      </w:tcPr>
    </w:tblStylePr>
    <w:tblStylePr w:type="band1Vert">
      <w:tcPr>
        <w:shd w:val="clear" w:color="ffffff" w:themeColor="accent6" w:themeTint="75" w:fill="84eddd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1ab39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1ab39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1ab39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1ab39f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e5f5d6" w:themeFill="accent1" w:themeFillTint="34"/>
      </w:tcPr>
    </w:tblStylePr>
    <w:tblStylePr w:type="band1Vert">
      <w:tcPr>
        <w:shd w:val="clear" w:color="ffffff" w:themeColor="accent1" w:themeTint="34" w:fill="e5f5d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6cb52c" w:themeColor="accent1" w:themeTint="80" w:themeShade="95"/>
      </w:rPr>
    </w:tblStylePr>
    <w:tblStylePr w:type="firstRow">
      <w:rPr>
        <w:b/>
        <w:color w:val="6cb52c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6cb52c" w:themeColor="accent1" w:themeTint="80" w:themeShade="95"/>
      </w:rPr>
    </w:tblStylePr>
    <w:tblStylePr w:type="lastRow">
      <w:rPr>
        <w:b/>
        <w:color w:val="6cb52c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d1e5" w:themeFill="accent2" w:themeFillTint="32"/>
      </w:tcPr>
    </w:tblStylePr>
    <w:tblStylePr w:type="band1Vert">
      <w:tcPr>
        <w:shd w:val="clear" w:color="ffffff" w:themeColor="accent2" w:themeTint="32" w:fill="fad1e5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be116b" w:themeColor="accent2" w:themeTint="97" w:themeShade="95"/>
      </w:rPr>
    </w:tblStylePr>
    <w:tblStylePr w:type="firstRow">
      <w:rPr>
        <w:b/>
        <w:color w:val="be116b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be116b" w:themeColor="accent2" w:themeTint="97" w:themeShade="95"/>
      </w:rPr>
    </w:tblStylePr>
    <w:tblStylePr w:type="lastRow">
      <w:rPr>
        <w:b/>
        <w:color w:val="be116b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ef0cd" w:themeFill="accent3" w:themeFillTint="34"/>
      </w:tcPr>
    </w:tblStylePr>
    <w:tblStylePr w:type="band1Vert">
      <w:tcPr>
        <w:shd w:val="clear" w:color="ffffff" w:themeColor="accent3" w:themeTint="34" w:fill="fef0c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986c01" w:themeColor="accent3" w:themeTint="FE" w:themeShade="95"/>
      </w:rPr>
    </w:tblStylePr>
    <w:tblStylePr w:type="firstRow">
      <w:rPr>
        <w:b/>
        <w:color w:val="986c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986c01" w:themeColor="accent3" w:themeTint="FE" w:themeShade="95"/>
      </w:rPr>
    </w:tblStylePr>
    <w:tblStylePr w:type="lastRow">
      <w:rPr>
        <w:b/>
        <w:color w:val="986c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3f3ff" w:themeFill="accent4" w:themeFillTint="34"/>
      </w:tcPr>
    </w:tblStylePr>
    <w:tblStylePr w:type="band1Vert">
      <w:tcPr>
        <w:shd w:val="clear" w:color="ffffff" w:themeColor="accent4" w:themeTint="34" w:fill="c3f3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19ac0" w:themeColor="accent4" w:themeTint="9A" w:themeShade="95"/>
      </w:rPr>
    </w:tblStylePr>
    <w:tblStylePr w:type="firstRow">
      <w:rPr>
        <w:b/>
        <w:color w:val="019ac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19ac0" w:themeColor="accent4" w:themeTint="9A" w:themeShade="95"/>
      </w:rPr>
    </w:tblStylePr>
    <w:tblStylePr w:type="lastRow">
      <w:rPr>
        <w:b/>
        <w:color w:val="019ac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e2e7f3" w:themeFill="accent5" w:themeFillTint="34"/>
      </w:tcPr>
    </w:tblStylePr>
    <w:tblStylePr w:type="band1Vert">
      <w:tcPr>
        <w:shd w:val="clear" w:color="ffffff" w:themeColor="accent5" w:themeTint="34" w:fill="e2e7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334a84" w:themeColor="accent5" w:themeShade="95"/>
      </w:rPr>
    </w:tblStylePr>
    <w:tblStylePr w:type="firstRow">
      <w:rPr>
        <w:b/>
        <w:color w:val="334a8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334a84" w:themeColor="accent5" w:themeShade="95"/>
      </w:rPr>
    </w:tblStylePr>
    <w:tblStylePr w:type="lastRow">
      <w:rPr>
        <w:b/>
        <w:color w:val="334a8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c8f7f0" w:themeFill="accent6" w:themeFillTint="34"/>
      </w:tcPr>
    </w:tblStylePr>
    <w:tblStylePr w:type="band1Vert">
      <w:tcPr>
        <w:shd w:val="clear" w:color="ffffff" w:themeColor="accent6" w:themeTint="34" w:fill="c8f7f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334a84" w:themeColor="accent5" w:themeShade="95"/>
      </w:rPr>
    </w:tblStylePr>
    <w:tblStylePr w:type="firstRow">
      <w:rPr>
        <w:b/>
        <w:color w:val="334a8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334a84" w:themeColor="accent5" w:themeShade="95"/>
      </w:rPr>
    </w:tblStylePr>
    <w:tblStylePr w:type="lastRow">
      <w:rPr>
        <w:b/>
        <w:color w:val="334a8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6cb52c" w:themeColor="accent1" w:themeTint="80" w:themeShade="95"/>
        <w:sz w:val="22"/>
      </w:rPr>
      <w:tcPr>
        <w:shd w:val="clear" w:color="ffffff" w:themeColor="accent1" w:themeTint="34" w:fill="e5f5d6" w:themeFill="accent1" w:themeFillTint="34"/>
      </w:tcPr>
    </w:tblStylePr>
    <w:tblStylePr w:type="band1Vert">
      <w:tcPr>
        <w:shd w:val="clear" w:color="ffffff" w:themeColor="accent1" w:themeTint="34" w:fill="e5f5d6" w:themeFill="accent1" w:themeFillTint="34"/>
      </w:tcPr>
    </w:tblStylePr>
    <w:tblStylePr w:type="band2Horz">
      <w:rPr>
        <w:rFonts w:ascii="Arial" w:hAnsi="Arial"/>
        <w:color w:val="6cb52c" w:themeColor="accent1" w:themeTint="80" w:themeShade="95"/>
        <w:sz w:val="22"/>
      </w:rPr>
    </w:tblStylePr>
    <w:tblStylePr w:type="firstCol">
      <w:rPr>
        <w:rFonts w:ascii="Arial" w:hAnsi="Arial"/>
        <w:i/>
        <w:color w:val="6cb52c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6cb52c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6cb52c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cb52c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be116b" w:themeColor="accent2" w:themeTint="97" w:themeShade="95"/>
        <w:sz w:val="22"/>
      </w:rPr>
      <w:tcPr>
        <w:shd w:val="clear" w:color="ffffff" w:themeColor="accent2" w:themeTint="32" w:fill="fad1e5" w:themeFill="accent2" w:themeFillTint="32"/>
      </w:tcPr>
    </w:tblStylePr>
    <w:tblStylePr w:type="band1Vert">
      <w:tcPr>
        <w:shd w:val="clear" w:color="ffffff" w:themeColor="accent2" w:themeTint="32" w:fill="fad1e5" w:themeFill="accent2" w:themeFillTint="32"/>
      </w:tcPr>
    </w:tblStylePr>
    <w:tblStylePr w:type="band2Horz">
      <w:rPr>
        <w:rFonts w:ascii="Arial" w:hAnsi="Arial"/>
        <w:color w:val="be116b" w:themeColor="accent2" w:themeTint="97" w:themeShade="95"/>
        <w:sz w:val="22"/>
      </w:rPr>
    </w:tblStylePr>
    <w:tblStylePr w:type="firstCol">
      <w:rPr>
        <w:rFonts w:ascii="Arial" w:hAnsi="Arial"/>
        <w:i/>
        <w:color w:val="be116b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be116b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be116b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e116b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986c01" w:themeColor="accent3" w:themeTint="FE" w:themeShade="95"/>
        <w:sz w:val="22"/>
      </w:rPr>
      <w:tcPr>
        <w:shd w:val="clear" w:color="ffffff" w:themeColor="accent3" w:themeTint="34" w:fill="fef0cd" w:themeFill="accent3" w:themeFillTint="34"/>
      </w:tcPr>
    </w:tblStylePr>
    <w:tblStylePr w:type="band1Vert">
      <w:tcPr>
        <w:shd w:val="clear" w:color="ffffff" w:themeColor="accent3" w:themeTint="34" w:fill="fef0cd" w:themeFill="accent3" w:themeFillTint="34"/>
      </w:tcPr>
    </w:tblStylePr>
    <w:tblStylePr w:type="band2Horz">
      <w:rPr>
        <w:rFonts w:ascii="Arial" w:hAnsi="Arial"/>
        <w:color w:val="986c01" w:themeColor="accent3" w:themeTint="FE" w:themeShade="95"/>
        <w:sz w:val="22"/>
      </w:rPr>
    </w:tblStylePr>
    <w:tblStylePr w:type="firstCol">
      <w:rPr>
        <w:rFonts w:ascii="Arial" w:hAnsi="Arial"/>
        <w:i/>
        <w:color w:val="986c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986c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986c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86c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19ac0" w:themeColor="accent4" w:themeTint="9A" w:themeShade="95"/>
        <w:sz w:val="22"/>
      </w:rPr>
      <w:tcPr>
        <w:shd w:val="clear" w:color="ffffff" w:themeColor="accent4" w:themeTint="34" w:fill="c3f3ff" w:themeFill="accent4" w:themeFillTint="34"/>
      </w:tcPr>
    </w:tblStylePr>
    <w:tblStylePr w:type="band1Vert">
      <w:tcPr>
        <w:shd w:val="clear" w:color="ffffff" w:themeColor="accent4" w:themeTint="34" w:fill="c3f3ff" w:themeFill="accent4" w:themeFillTint="34"/>
      </w:tcPr>
    </w:tblStylePr>
    <w:tblStylePr w:type="band2Horz">
      <w:rPr>
        <w:rFonts w:ascii="Arial" w:hAnsi="Arial"/>
        <w:color w:val="019ac0" w:themeColor="accent4" w:themeTint="9A" w:themeShade="95"/>
        <w:sz w:val="22"/>
      </w:rPr>
    </w:tblStylePr>
    <w:tblStylePr w:type="firstCol">
      <w:rPr>
        <w:rFonts w:ascii="Arial" w:hAnsi="Arial"/>
        <w:i/>
        <w:color w:val="019ac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19ac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19ac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19ac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334a84" w:themeColor="accent5" w:themeShade="95"/>
        <w:sz w:val="22"/>
      </w:rPr>
      <w:tcPr>
        <w:shd w:val="clear" w:color="ffffff" w:themeColor="accent5" w:themeTint="34" w:fill="e2e7f3" w:themeFill="accent5" w:themeFillTint="34"/>
      </w:tcPr>
    </w:tblStylePr>
    <w:tblStylePr w:type="band1Vert">
      <w:tcPr>
        <w:shd w:val="clear" w:color="ffffff" w:themeColor="accent5" w:themeTint="34" w:fill="e2e7f3" w:themeFill="accent5" w:themeFillTint="34"/>
      </w:tcPr>
    </w:tblStylePr>
    <w:tblStylePr w:type="band2Horz">
      <w:rPr>
        <w:rFonts w:ascii="Arial" w:hAnsi="Arial"/>
        <w:color w:val="334a84" w:themeColor="accent5" w:themeShade="95"/>
        <w:sz w:val="22"/>
      </w:rPr>
    </w:tblStylePr>
    <w:tblStylePr w:type="firstCol">
      <w:rPr>
        <w:rFonts w:ascii="Arial" w:hAnsi="Arial"/>
        <w:i/>
        <w:color w:val="334a8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334a8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334a8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34a8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0f685b" w:themeColor="accent6" w:themeShade="95"/>
        <w:sz w:val="22"/>
      </w:rPr>
      <w:tcPr>
        <w:shd w:val="clear" w:color="ffffff" w:themeColor="accent6" w:themeTint="34" w:fill="c8f7f0" w:themeFill="accent6" w:themeFillTint="34"/>
      </w:tcPr>
    </w:tblStylePr>
    <w:tblStylePr w:type="band1Vert">
      <w:tcPr>
        <w:shd w:val="clear" w:color="ffffff" w:themeColor="accent6" w:themeTint="34" w:fill="c8f7f0" w:themeFill="accent6" w:themeFillTint="34"/>
      </w:tcPr>
    </w:tblStylePr>
    <w:tblStylePr w:type="band2Horz">
      <w:rPr>
        <w:rFonts w:ascii="Arial" w:hAnsi="Arial"/>
        <w:color w:val="0f685b" w:themeColor="accent6" w:themeShade="95"/>
        <w:sz w:val="22"/>
      </w:rPr>
    </w:tblStylePr>
    <w:tblStylePr w:type="firstCol">
      <w:rPr>
        <w:rFonts w:ascii="Arial" w:hAnsi="Arial"/>
        <w:i/>
        <w:color w:val="0f685b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0f685b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0f685b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685b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ff3ce" w:themeFill="accent1" w:themeFillTint="40"/>
      </w:tcPr>
    </w:tblStylePr>
    <w:tblStylePr w:type="band1Vert">
      <w:tcPr>
        <w:shd w:val="clear" w:color="ffffff" w:themeColor="accent1" w:themeTint="40" w:fill="dff3c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c4de" w:themeFill="accent2" w:themeFillTint="40"/>
      </w:tcPr>
    </w:tblStylePr>
    <w:tblStylePr w:type="band1Vert">
      <w:tcPr>
        <w:shd w:val="clear" w:color="ffffff" w:themeColor="accent2" w:themeTint="40" w:fill="f9c4de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eecc1" w:themeFill="accent3" w:themeFillTint="40"/>
      </w:tcPr>
    </w:tblStylePr>
    <w:tblStylePr w:type="band1Vert">
      <w:tcPr>
        <w:shd w:val="clear" w:color="ffffff" w:themeColor="accent3" w:themeTint="40" w:fill="feecc1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6f0ff" w:themeFill="accent4" w:themeFillTint="40"/>
      </w:tcPr>
    </w:tblStylePr>
    <w:tblStylePr w:type="band1Vert">
      <w:tcPr>
        <w:shd w:val="clear" w:color="ffffff" w:themeColor="accent4" w:themeTint="40" w:fill="b6f0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be1f0" w:themeFill="accent5" w:themeFillTint="40"/>
      </w:tcPr>
    </w:tblStylePr>
    <w:tblStylePr w:type="band1Vert">
      <w:tcPr>
        <w:shd w:val="clear" w:color="ffffff" w:themeColor="accent5" w:themeTint="40" w:fill="dbe1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bcf5ec" w:themeFill="accent6" w:themeFillTint="40"/>
      </w:tcPr>
    </w:tblStylePr>
    <w:tblStylePr w:type="band1Vert">
      <w:tcPr>
        <w:shd w:val="clear" w:color="ffffff" w:themeColor="accent6" w:themeTint="40" w:fill="bcf5ec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ff3c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ff3c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c4de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c4de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eecc1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eecc1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6f0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6f0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be1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be1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bcf5ec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bcf5ec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7fd13b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273b2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ed36d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4fdbfe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aab8dd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60e7d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ff3c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ff3c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7fd13b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c4de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c4de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a157a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eecc1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eecc1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feb80a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6f0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6f0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0addc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be1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be1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738ac8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bcf5ec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bcf5ec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1ab39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7fd13b" w:themeFill="accent1"/>
    </w:tblPr>
    <w:tblStylePr w:type="band1Horz">
      <w:tcPr>
        <w:shd w:val="clear" w:color="ffffff" w:themeColor="accent1" w:fill="7fd13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7fd13b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7fd13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7fd13b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73b2" w:themeFill="accent2" w:themeFillTint="97"/>
    </w:tblPr>
    <w:tblStylePr w:type="band1Horz">
      <w:tcPr>
        <w:shd w:val="clear" w:color="ffffff" w:themeColor="accent2" w:themeTint="97" w:fill="f273b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273b2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273b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273b2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ed36d" w:themeFill="accent3" w:themeFillTint="98"/>
    </w:tblPr>
    <w:tblStylePr w:type="band1Horz">
      <w:tcPr>
        <w:shd w:val="clear" w:color="ffffff" w:themeColor="accent3" w:themeTint="98" w:fill="fed36d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ed36d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ed36d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ed36d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4fdbfe" w:themeFill="accent4" w:themeFillTint="9A"/>
    </w:tblPr>
    <w:tblStylePr w:type="band1Horz">
      <w:tcPr>
        <w:shd w:val="clear" w:color="ffffff" w:themeColor="accent4" w:themeTint="9A" w:fill="4fdbfe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4fdbfe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4fdbfe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4fdbfe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aab8dd" w:themeFill="accent5" w:themeFillTint="9A"/>
    </w:tblPr>
    <w:tblStylePr w:type="band1Horz">
      <w:tcPr>
        <w:shd w:val="clear" w:color="ffffff" w:themeColor="accent5" w:themeTint="9A" w:fill="aab8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aab8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aab8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aab8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60e7d3" w:themeFill="accent6" w:themeFillTint="98"/>
    </w:tblPr>
    <w:tblStylePr w:type="band1Horz">
      <w:tcPr>
        <w:shd w:val="clear" w:color="ffffff" w:themeColor="accent6" w:themeTint="98" w:fill="60e7d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60e7d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60e7d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60e7d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ff3ce" w:themeFill="accent1" w:themeFillTint="40"/>
      </w:tcPr>
    </w:tblStylePr>
    <w:tblStylePr w:type="band1Vert">
      <w:tcPr>
        <w:shd w:val="clear" w:color="ffffff" w:themeColor="accent1" w:themeTint="40" w:fill="dff3c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4b7e1d" w:themeColor="accent1" w:themeShade="95"/>
      </w:rPr>
    </w:tblStylePr>
    <w:tblStylePr w:type="firstRow">
      <w:rPr>
        <w:b/>
        <w:color w:val="4b7e1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4b7e1d" w:themeColor="accent1" w:themeShade="95"/>
      </w:rPr>
    </w:tblStylePr>
    <w:tblStylePr w:type="lastRow">
      <w:rPr>
        <w:b/>
        <w:color w:val="4b7e1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c4de" w:themeFill="accent2" w:themeFillTint="40"/>
      </w:tcPr>
    </w:tblStylePr>
    <w:tblStylePr w:type="band1Vert">
      <w:tcPr>
        <w:shd w:val="clear" w:color="ffffff" w:themeColor="accent2" w:themeTint="40" w:fill="f9c4de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be116b" w:themeColor="accent2" w:themeTint="97" w:themeShade="95"/>
      </w:rPr>
    </w:tblStylePr>
    <w:tblStylePr w:type="firstRow">
      <w:rPr>
        <w:b/>
        <w:color w:val="be116b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be116b" w:themeColor="accent2" w:themeTint="97" w:themeShade="95"/>
      </w:rPr>
    </w:tblStylePr>
    <w:tblStylePr w:type="lastRow">
      <w:rPr>
        <w:b/>
        <w:color w:val="be116b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eecc1" w:themeFill="accent3" w:themeFillTint="40"/>
      </w:tcPr>
    </w:tblStylePr>
    <w:tblStylePr w:type="band1Vert">
      <w:tcPr>
        <w:shd w:val="clear" w:color="ffffff" w:themeColor="accent3" w:themeTint="40" w:fill="feecc1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d29001" w:themeColor="accent3" w:themeTint="98" w:themeShade="95"/>
      </w:rPr>
    </w:tblStylePr>
    <w:tblStylePr w:type="firstRow">
      <w:rPr>
        <w:b/>
        <w:color w:val="d29001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d29001" w:themeColor="accent3" w:themeTint="98" w:themeShade="95"/>
      </w:rPr>
    </w:tblStylePr>
    <w:tblStylePr w:type="lastRow">
      <w:rPr>
        <w:b/>
        <w:color w:val="d29001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6f0ff" w:themeFill="accent4" w:themeFillTint="40"/>
      </w:tcPr>
    </w:tblStylePr>
    <w:tblStylePr w:type="band1Vert">
      <w:tcPr>
        <w:shd w:val="clear" w:color="ffffff" w:themeColor="accent4" w:themeTint="40" w:fill="b6f0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19ac0" w:themeColor="accent4" w:themeTint="9A" w:themeShade="95"/>
      </w:rPr>
    </w:tblStylePr>
    <w:tblStylePr w:type="firstRow">
      <w:rPr>
        <w:b/>
        <w:color w:val="019ac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19ac0" w:themeColor="accent4" w:themeTint="9A" w:themeShade="95"/>
      </w:rPr>
    </w:tblStylePr>
    <w:tblStylePr w:type="lastRow">
      <w:rPr>
        <w:b/>
        <w:color w:val="019ac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be1f0" w:themeFill="accent5" w:themeFillTint="40"/>
      </w:tcPr>
    </w:tblStylePr>
    <w:tblStylePr w:type="band1Vert">
      <w:tcPr>
        <w:shd w:val="clear" w:color="ffffff" w:themeColor="accent5" w:themeTint="40" w:fill="dbe1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415ca2" w:themeColor="accent5" w:themeTint="9A" w:themeShade="95"/>
      </w:rPr>
    </w:tblStylePr>
    <w:tblStylePr w:type="firstRow">
      <w:rPr>
        <w:b/>
        <w:color w:val="415ca2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415ca2" w:themeColor="accent5" w:themeTint="9A" w:themeShade="95"/>
      </w:rPr>
    </w:tblStylePr>
    <w:tblStylePr w:type="lastRow">
      <w:rPr>
        <w:b/>
        <w:color w:val="415ca2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bcf5ec" w:themeFill="accent6" w:themeFillTint="40"/>
      </w:tcPr>
    </w:tblStylePr>
    <w:tblStylePr w:type="band1Vert">
      <w:tcPr>
        <w:shd w:val="clear" w:color="ffffff" w:themeColor="accent6" w:themeTint="40" w:fill="bcf5ec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18a58f" w:themeColor="accent6" w:themeTint="98" w:themeShade="95"/>
      </w:rPr>
    </w:tblStylePr>
    <w:tblStylePr w:type="firstRow">
      <w:rPr>
        <w:b/>
        <w:color w:val="18a58f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18a58f" w:themeColor="accent6" w:themeTint="98" w:themeShade="95"/>
      </w:rPr>
    </w:tblStylePr>
    <w:tblStylePr w:type="lastRow">
      <w:rPr>
        <w:b/>
        <w:color w:val="18a58f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4b7e1d" w:themeColor="accent1" w:themeShade="95"/>
        <w:sz w:val="22"/>
      </w:rPr>
      <w:tcPr>
        <w:shd w:val="clear" w:color="ffffff" w:themeColor="accent1" w:themeTint="40" w:fill="dff3ce" w:themeFill="accent1" w:themeFillTint="40"/>
      </w:tcPr>
    </w:tblStylePr>
    <w:tblStylePr w:type="band1Vert">
      <w:tcPr>
        <w:shd w:val="clear" w:color="ffffff" w:themeColor="accent1" w:themeTint="40" w:fill="dff3ce" w:themeFill="accent1" w:themeFillTint="40"/>
      </w:tcPr>
    </w:tblStylePr>
    <w:tblStylePr w:type="band2Horz">
      <w:rPr>
        <w:rFonts w:ascii="Arial" w:hAnsi="Arial"/>
        <w:color w:val="4b7e1d" w:themeColor="accent1" w:themeShade="95"/>
        <w:sz w:val="22"/>
      </w:rPr>
    </w:tblStylePr>
    <w:tblStylePr w:type="firstCol">
      <w:rPr>
        <w:rFonts w:ascii="Arial" w:hAnsi="Arial"/>
        <w:i/>
        <w:color w:val="4b7e1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4b7e1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4b7e1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7e1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b7e1d" w:themeColor="accent1" w:themeShade="95"/>
        <w:sz w:val="22"/>
      </w:rPr>
    </w:tblStylePr>
  </w:style>
  <w:style w:type="table" w:styleId="148">
    <w:name w:val="List Table 7 Colorful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be116b" w:themeColor="accent2" w:themeTint="97" w:themeShade="95"/>
        <w:sz w:val="22"/>
      </w:rPr>
      <w:tcPr>
        <w:shd w:val="clear" w:color="ffffff" w:themeColor="accent2" w:themeTint="40" w:fill="f9c4de" w:themeFill="accent2" w:themeFillTint="40"/>
      </w:tcPr>
    </w:tblStylePr>
    <w:tblStylePr w:type="band1Vert">
      <w:tcPr>
        <w:shd w:val="clear" w:color="ffffff" w:themeColor="accent2" w:themeTint="40" w:fill="f9c4de" w:themeFill="accent2" w:themeFillTint="40"/>
      </w:tcPr>
    </w:tblStylePr>
    <w:tblStylePr w:type="band2Horz">
      <w:rPr>
        <w:rFonts w:ascii="Arial" w:hAnsi="Arial"/>
        <w:color w:val="be116b" w:themeColor="accent2" w:themeTint="97" w:themeShade="95"/>
        <w:sz w:val="22"/>
      </w:rPr>
    </w:tblStylePr>
    <w:tblStylePr w:type="firstCol">
      <w:rPr>
        <w:rFonts w:ascii="Arial" w:hAnsi="Arial"/>
        <w:i/>
        <w:color w:val="be116b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be116b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be116b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e116b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be116b" w:themeColor="accent2" w:themeTint="97" w:themeShade="95"/>
        <w:sz w:val="22"/>
      </w:rPr>
    </w:tblStylePr>
  </w:style>
  <w:style w:type="table" w:styleId="149">
    <w:name w:val="List Table 7 Colorful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d29001" w:themeColor="accent3" w:themeTint="98" w:themeShade="95"/>
        <w:sz w:val="22"/>
      </w:rPr>
      <w:tcPr>
        <w:shd w:val="clear" w:color="ffffff" w:themeColor="accent3" w:themeTint="40" w:fill="feecc1" w:themeFill="accent3" w:themeFillTint="40"/>
      </w:tcPr>
    </w:tblStylePr>
    <w:tblStylePr w:type="band1Vert">
      <w:tcPr>
        <w:shd w:val="clear" w:color="ffffff" w:themeColor="accent3" w:themeTint="40" w:fill="feecc1" w:themeFill="accent3" w:themeFillTint="40"/>
      </w:tcPr>
    </w:tblStylePr>
    <w:tblStylePr w:type="band2Horz">
      <w:rPr>
        <w:rFonts w:ascii="Arial" w:hAnsi="Arial"/>
        <w:color w:val="d29001" w:themeColor="accent3" w:themeTint="98" w:themeShade="95"/>
        <w:sz w:val="22"/>
      </w:rPr>
    </w:tblStylePr>
    <w:tblStylePr w:type="firstCol">
      <w:rPr>
        <w:rFonts w:ascii="Arial" w:hAnsi="Arial"/>
        <w:i/>
        <w:color w:val="d29001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d29001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d29001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29001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29001" w:themeColor="accent3" w:themeTint="98" w:themeShade="95"/>
        <w:sz w:val="22"/>
      </w:rPr>
    </w:tblStylePr>
  </w:style>
  <w:style w:type="table" w:styleId="150">
    <w:name w:val="List Table 7 Colorful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19ac0" w:themeColor="accent4" w:themeTint="9A" w:themeShade="95"/>
        <w:sz w:val="22"/>
      </w:rPr>
      <w:tcPr>
        <w:shd w:val="clear" w:color="ffffff" w:themeColor="accent4" w:themeTint="40" w:fill="b6f0ff" w:themeFill="accent4" w:themeFillTint="40"/>
      </w:tcPr>
    </w:tblStylePr>
    <w:tblStylePr w:type="band1Vert">
      <w:tcPr>
        <w:shd w:val="clear" w:color="ffffff" w:themeColor="accent4" w:themeTint="40" w:fill="b6f0ff" w:themeFill="accent4" w:themeFillTint="40"/>
      </w:tcPr>
    </w:tblStylePr>
    <w:tblStylePr w:type="band2Horz">
      <w:rPr>
        <w:rFonts w:ascii="Arial" w:hAnsi="Arial"/>
        <w:color w:val="019ac0" w:themeColor="accent4" w:themeTint="9A" w:themeShade="95"/>
        <w:sz w:val="22"/>
      </w:rPr>
    </w:tblStylePr>
    <w:tblStylePr w:type="firstCol">
      <w:rPr>
        <w:rFonts w:ascii="Arial" w:hAnsi="Arial"/>
        <w:i/>
        <w:color w:val="019ac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19ac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19ac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19ac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19ac0" w:themeColor="accent4" w:themeTint="9A" w:themeShade="95"/>
        <w:sz w:val="22"/>
      </w:rPr>
    </w:tblStylePr>
  </w:style>
  <w:style w:type="table" w:styleId="151">
    <w:name w:val="List Table 7 Colorful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15ca2" w:themeColor="accent5" w:themeTint="9A" w:themeShade="95"/>
        <w:sz w:val="22"/>
      </w:rPr>
      <w:tcPr>
        <w:shd w:val="clear" w:color="ffffff" w:themeColor="accent5" w:themeTint="40" w:fill="dbe1f0" w:themeFill="accent5" w:themeFillTint="40"/>
      </w:tcPr>
    </w:tblStylePr>
    <w:tblStylePr w:type="band1Vert">
      <w:tcPr>
        <w:shd w:val="clear" w:color="ffffff" w:themeColor="accent5" w:themeTint="40" w:fill="dbe1f0" w:themeFill="accent5" w:themeFillTint="40"/>
      </w:tcPr>
    </w:tblStylePr>
    <w:tblStylePr w:type="band2Horz">
      <w:rPr>
        <w:rFonts w:ascii="Arial" w:hAnsi="Arial"/>
        <w:color w:val="415ca2" w:themeColor="accent5" w:themeTint="9A" w:themeShade="95"/>
        <w:sz w:val="22"/>
      </w:rPr>
    </w:tblStylePr>
    <w:tblStylePr w:type="firstCol">
      <w:rPr>
        <w:rFonts w:ascii="Arial" w:hAnsi="Arial"/>
        <w:i/>
        <w:color w:val="415ca2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415ca2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415ca2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15ca2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15ca2" w:themeColor="accent5" w:themeTint="9A" w:themeShade="95"/>
        <w:sz w:val="22"/>
      </w:rPr>
    </w:tblStylePr>
  </w:style>
  <w:style w:type="table" w:styleId="152">
    <w:name w:val="List Table 7 Colorful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18a58f" w:themeColor="accent6" w:themeTint="98" w:themeShade="95"/>
        <w:sz w:val="22"/>
      </w:rPr>
      <w:tcPr>
        <w:shd w:val="clear" w:color="ffffff" w:themeColor="accent6" w:themeTint="40" w:fill="bcf5ec" w:themeFill="accent6" w:themeFillTint="40"/>
      </w:tcPr>
    </w:tblStylePr>
    <w:tblStylePr w:type="band1Vert">
      <w:tcPr>
        <w:shd w:val="clear" w:color="ffffff" w:themeColor="accent6" w:themeTint="40" w:fill="bcf5ec" w:themeFill="accent6" w:themeFillTint="40"/>
      </w:tcPr>
    </w:tblStylePr>
    <w:tblStylePr w:type="band2Horz">
      <w:rPr>
        <w:rFonts w:ascii="Arial" w:hAnsi="Arial"/>
        <w:color w:val="18a58f" w:themeColor="accent6" w:themeTint="98" w:themeShade="95"/>
        <w:sz w:val="22"/>
      </w:rPr>
    </w:tblStylePr>
    <w:tblStylePr w:type="firstCol">
      <w:rPr>
        <w:rFonts w:ascii="Arial" w:hAnsi="Arial"/>
        <w:i/>
        <w:color w:val="18a58f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18a58f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18a58f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8a58f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18a58f" w:themeColor="accent6" w:themeTint="98" w:themeShade="95"/>
        <w:sz w:val="22"/>
      </w:rPr>
    </w:tblStylePr>
  </w:style>
  <w:style w:type="table" w:styleId="153">
    <w:name w:val="Lined - Accent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d7f0c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d7f0c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8bd44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8bd44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8bd44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8bd44b" w:themeFill="accent1" w:themeFillTint="EA"/>
      </w:tcPr>
    </w:tblStylePr>
  </w:style>
  <w:style w:type="table" w:styleId="155">
    <w:name w:val="Lined - Accent 2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d1e5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d1e5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273b2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273b2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273b2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273b2" w:themeFill="accent2" w:themeFillTint="97"/>
      </w:tcPr>
    </w:tblStylePr>
  </w:style>
  <w:style w:type="table" w:styleId="156">
    <w:name w:val="Lined - Accent 3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ef0c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ef0c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fdb60a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fdb60a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fdb60a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fdb60a" w:themeFill="accent3" w:themeFillTint="FE"/>
      </w:tcPr>
    </w:tblStylePr>
  </w:style>
  <w:style w:type="table" w:styleId="157">
    <w:name w:val="Lined - Accent 4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3f3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3f3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4fdbfe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4fdbfe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4fdbfe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4fdbfe" w:themeFill="accent4" w:themeFillTint="9A"/>
      </w:tcPr>
    </w:tblStylePr>
  </w:style>
  <w:style w:type="table" w:styleId="158">
    <w:name w:val="Lined - Accent 5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e2e7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e2e7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738ac8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738ac8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738ac8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738ac8" w:themeFill="accent5"/>
      </w:tcPr>
    </w:tblStylePr>
  </w:style>
  <w:style w:type="table" w:styleId="159">
    <w:name w:val="Lined - Accent 6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c8f7f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c8f7f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1ab39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1ab39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1ab39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1ab39f" w:themeFill="accent6"/>
      </w:tcPr>
    </w:tblStylePr>
  </w:style>
  <w:style w:type="table" w:styleId="160">
    <w:name w:val="Bordered &amp; Lined - Accent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d7f0c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d7f0c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8bd44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8bd44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8bd44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8bd44b" w:themeFill="accent1" w:themeFillTint="EA"/>
      </w:tcPr>
    </w:tblStylePr>
  </w:style>
  <w:style w:type="table" w:styleId="162">
    <w:name w:val="Bordered &amp; Lined - Accent 2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d1e5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d1e5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273b2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273b2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273b2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273b2" w:themeFill="accent2" w:themeFillTint="97"/>
      </w:tcPr>
    </w:tblStylePr>
  </w:style>
  <w:style w:type="table" w:styleId="163">
    <w:name w:val="Bordered &amp; Lined - Accent 3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ef0c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ef0c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fdb60a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fdb60a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fdb60a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fdb60a" w:themeFill="accent3" w:themeFillTint="FE"/>
      </w:tcPr>
    </w:tblStylePr>
  </w:style>
  <w:style w:type="table" w:styleId="164">
    <w:name w:val="Bordered &amp; Lined - Accent 4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3f3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3f3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4fdbfe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4fdbfe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4fdbfe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4fdbfe" w:themeFill="accent4" w:themeFillTint="9A"/>
      </w:tcPr>
    </w:tblStylePr>
  </w:style>
  <w:style w:type="table" w:styleId="165">
    <w:name w:val="Bordered &amp; Lined - Accent 5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e2e7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e2e7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738ac8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738ac8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738ac8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738ac8" w:themeFill="accent5"/>
      </w:tcPr>
    </w:tblStylePr>
  </w:style>
  <w:style w:type="table" w:styleId="166">
    <w:name w:val="Bordered &amp; Lined - Accent 6"/>
    <w:basedOn w:val="7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c8f7f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c8f7f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1ab39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1ab39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1ab39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1ab39f" w:themeFill="accent6"/>
      </w:tcPr>
    </w:tblStylePr>
  </w:style>
  <w:style w:type="table" w:styleId="167">
    <w:name w:val="Bordered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50"/>
    <w:uiPriority w:val="99"/>
    <w:rPr>
      <w:sz w:val="18"/>
    </w:rPr>
  </w:style>
  <w:style w:type="paragraph" w:styleId="178">
    <w:name w:val="endnote text"/>
    <w:basedOn w:val="7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36"/>
    <w:uiPriority w:val="99"/>
    <w:semiHidden/>
    <w:unhideWhenUsed/>
    <w:rPr>
      <w:vertAlign w:val="superscript"/>
    </w:rPr>
  </w:style>
  <w:style w:type="paragraph" w:styleId="184">
    <w:name w:val="toc 4"/>
    <w:basedOn w:val="731"/>
    <w:next w:val="7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31"/>
    <w:next w:val="7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31"/>
    <w:next w:val="7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31"/>
    <w:next w:val="7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31"/>
    <w:next w:val="7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31"/>
    <w:next w:val="731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731"/>
    <w:next w:val="731"/>
    <w:uiPriority w:val="99"/>
    <w:unhideWhenUsed/>
    <w:pPr>
      <w:spacing w:after="0" w:afterAutospacing="0"/>
    </w:pPr>
  </w:style>
  <w:style w:type="paragraph" w:styleId="731" w:default="1">
    <w:name w:val="Normal"/>
    <w:qFormat/>
    <w:rPr>
      <w:rFonts w:ascii="Times New Roman" w:hAnsi="Times New Roman" w:eastAsia="Times New Roman"/>
    </w:rPr>
  </w:style>
  <w:style w:type="paragraph" w:styleId="732">
    <w:name w:val="Heading 1"/>
    <w:basedOn w:val="733"/>
    <w:next w:val="731"/>
    <w:link w:val="749"/>
    <w:uiPriority w:val="9"/>
    <w:qFormat/>
    <w:pPr>
      <w:spacing w:line="360" w:lineRule="auto"/>
      <w:outlineLvl w:val="0"/>
    </w:pPr>
    <w:rPr>
      <w:rFonts w:eastAsia="Calibri"/>
      <w:i/>
      <w:iCs/>
      <w:color w:val="0d594f"/>
    </w:rPr>
  </w:style>
  <w:style w:type="paragraph" w:styleId="733">
    <w:name w:val="Heading 2"/>
    <w:basedOn w:val="731"/>
    <w:next w:val="731"/>
    <w:link w:val="739"/>
    <w:qFormat/>
    <w:pPr>
      <w:jc w:val="center"/>
      <w:keepNext/>
      <w:spacing w:before="240" w:after="60"/>
      <w:outlineLvl w:val="1"/>
    </w:pPr>
    <w:rPr>
      <w:b/>
      <w:bCs/>
      <w:color w:val="2375b8"/>
      <w:sz w:val="28"/>
      <w:szCs w:val="28"/>
      <w:lang w:eastAsia="en-US"/>
    </w:rPr>
  </w:style>
  <w:style w:type="paragraph" w:styleId="734">
    <w:name w:val="Heading 3"/>
    <w:basedOn w:val="748"/>
    <w:next w:val="731"/>
    <w:link w:val="756"/>
    <w:uiPriority w:val="9"/>
    <w:unhideWhenUsed/>
    <w:qFormat/>
    <w:pPr>
      <w:ind w:left="360"/>
      <w:jc w:val="center"/>
      <w:outlineLvl w:val="2"/>
    </w:pPr>
    <w:rPr>
      <w:rFonts w:ascii="Times New Roman" w:hAnsi="Times New Roman" w:cs="Times New Roman" w:eastAsiaTheme="minorHAnsi"/>
      <w:b/>
      <w:i/>
      <w:color w:val="003e75" w:themeColor="background2" w:themeShade="40"/>
      <w:sz w:val="28"/>
      <w:szCs w:val="28"/>
    </w:rPr>
  </w:style>
  <w:style w:type="paragraph" w:styleId="735">
    <w:name w:val="Heading 4"/>
    <w:basedOn w:val="731"/>
    <w:next w:val="731"/>
    <w:link w:val="786"/>
    <w:uiPriority w:val="9"/>
    <w:semiHidden/>
    <w:unhideWhenUsed/>
    <w:qFormat/>
    <w:pPr>
      <w:keepLines/>
      <w:keepNext/>
      <w:spacing w:before="40"/>
      <w:outlineLvl w:val="3"/>
    </w:pPr>
    <w:rPr>
      <w:rFonts w:asciiTheme="majorHAnsi" w:hAnsiTheme="majorHAnsi" w:eastAsiaTheme="majorEastAsia" w:cstheme="majorBidi"/>
      <w:i/>
      <w:iCs/>
      <w:color w:val="5ea226" w:themeColor="accent1" w:themeShade="BF"/>
    </w:rPr>
  </w:style>
  <w:style w:type="character" w:styleId="736" w:default="1">
    <w:name w:val="Default Paragraph Font"/>
    <w:uiPriority w:val="1"/>
    <w:unhideWhenUsed/>
  </w:style>
  <w:style w:type="table" w:styleId="7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8" w:default="1">
    <w:name w:val="No List"/>
    <w:uiPriority w:val="99"/>
    <w:semiHidden/>
    <w:unhideWhenUsed/>
  </w:style>
  <w:style w:type="character" w:styleId="739" w:customStyle="1">
    <w:name w:val="Заголовок 2 Знак"/>
    <w:link w:val="733"/>
    <w:rPr>
      <w:rFonts w:ascii="Times New Roman" w:hAnsi="Times New Roman" w:eastAsia="Times New Roman"/>
      <w:b/>
      <w:bCs/>
      <w:color w:val="2375b8"/>
      <w:sz w:val="28"/>
      <w:szCs w:val="28"/>
      <w:lang w:eastAsia="en-US"/>
    </w:rPr>
  </w:style>
  <w:style w:type="paragraph" w:styleId="740">
    <w:name w:val="Header"/>
    <w:basedOn w:val="731"/>
    <w:link w:val="741"/>
    <w:uiPriority w:val="99"/>
    <w:pPr>
      <w:tabs>
        <w:tab w:val="center" w:pos="4677" w:leader="none"/>
        <w:tab w:val="right" w:pos="9355" w:leader="none"/>
      </w:tabs>
    </w:pPr>
  </w:style>
  <w:style w:type="character" w:styleId="741" w:customStyle="1">
    <w:name w:val="Верхний колонтитул Знак"/>
    <w:link w:val="740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42" w:customStyle="1">
    <w:name w:val="ConsNonformat"/>
    <w:pPr>
      <w:widowControl w:val="off"/>
    </w:pPr>
    <w:rPr>
      <w:rFonts w:ascii="Courier New" w:hAnsi="Courier New" w:eastAsia="Times New Roman" w:cs="Courier New"/>
    </w:rPr>
  </w:style>
  <w:style w:type="character" w:styleId="743">
    <w:name w:val="Hyperlink"/>
    <w:uiPriority w:val="99"/>
    <w:rPr>
      <w:color w:val="0000ff"/>
      <w:u w:val="single"/>
    </w:rPr>
  </w:style>
  <w:style w:type="paragraph" w:styleId="744">
    <w:name w:val="List Paragraph"/>
    <w:basedOn w:val="731"/>
    <w:link w:val="745"/>
    <w:uiPriority w:val="34"/>
    <w:qFormat/>
    <w:pPr>
      <w:contextualSpacing/>
      <w:ind w:left="720"/>
    </w:pPr>
  </w:style>
  <w:style w:type="character" w:styleId="745" w:customStyle="1">
    <w:name w:val="Абзац списка Знак"/>
    <w:link w:val="744"/>
    <w:uiPriority w:val="3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46">
    <w:name w:val="Normal (Web)"/>
    <w:basedOn w:val="731"/>
    <w:link w:val="747"/>
    <w:uiPriority w:val="99"/>
    <w:qFormat/>
    <w:rPr>
      <w:sz w:val="24"/>
      <w:szCs w:val="24"/>
      <w:lang w:val="en-GB"/>
    </w:rPr>
  </w:style>
  <w:style w:type="character" w:styleId="747" w:customStyle="1">
    <w:name w:val="Обычный (веб) Знак1"/>
    <w:link w:val="746"/>
    <w:uiPriority w:val="99"/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748" w:customStyle="1">
    <w:name w:val="ConsPlusNonformat"/>
    <w:qFormat/>
    <w:rPr>
      <w:rFonts w:ascii="Courier New" w:hAnsi="Courier New" w:eastAsia="Times New Roman" w:cs="Courier New"/>
    </w:rPr>
  </w:style>
  <w:style w:type="character" w:styleId="749" w:customStyle="1">
    <w:name w:val="Заголовок 1 Знак"/>
    <w:link w:val="732"/>
    <w:uiPriority w:val="9"/>
    <w:rPr>
      <w:rFonts w:ascii="Times New Roman" w:hAnsi="Times New Roman"/>
      <w:b/>
      <w:bCs/>
      <w:i/>
      <w:iCs/>
      <w:color w:val="0d594f"/>
      <w:sz w:val="28"/>
      <w:szCs w:val="28"/>
      <w:lang w:eastAsia="en-US"/>
    </w:rPr>
  </w:style>
  <w:style w:type="paragraph" w:styleId="750">
    <w:name w:val="footnote text"/>
    <w:basedOn w:val="731"/>
    <w:link w:val="751"/>
    <w:uiPriority w:val="99"/>
    <w:unhideWhenUsed/>
  </w:style>
  <w:style w:type="character" w:styleId="751" w:customStyle="1">
    <w:name w:val="Текст сноски Знак"/>
    <w:link w:val="750"/>
    <w:uiPriority w:val="99"/>
    <w:rPr>
      <w:rFonts w:ascii="Times New Roman" w:hAnsi="Times New Roman" w:eastAsia="Times New Roman"/>
    </w:rPr>
  </w:style>
  <w:style w:type="character" w:styleId="752" w:customStyle="1">
    <w:name w:val="Цветной список - Акцент 1 Знак"/>
    <w:link w:val="753"/>
    <w:rPr>
      <w:rFonts w:ascii="Times New Roman CYR" w:hAnsi="Times New Roman CYR" w:eastAsia="Times New Roman"/>
      <w:sz w:val="24"/>
      <w:szCs w:val="24"/>
    </w:rPr>
  </w:style>
  <w:style w:type="paragraph" w:styleId="753" w:customStyle="1">
    <w:name w:val="Цветной список - Акцент 11"/>
    <w:basedOn w:val="731"/>
    <w:link w:val="752"/>
    <w:qFormat/>
    <w:pPr>
      <w:numPr>
        <w:ilvl w:val="0"/>
        <w:numId w:val="1"/>
      </w:numPr>
      <w:jc w:val="both"/>
      <w:spacing w:before="120" w:after="60"/>
      <w:widowControl w:val="off"/>
      <w:tabs>
        <w:tab w:val="left" w:pos="993" w:leader="none"/>
      </w:tabs>
    </w:pPr>
    <w:rPr>
      <w:rFonts w:ascii="Times New Roman CYR" w:hAnsi="Times New Roman CYR"/>
      <w:sz w:val="24"/>
      <w:szCs w:val="24"/>
    </w:rPr>
  </w:style>
  <w:style w:type="character" w:styleId="754">
    <w:name w:val="footnote reference"/>
    <w:uiPriority w:val="99"/>
    <w:semiHidden/>
    <w:unhideWhenUsed/>
    <w:rPr>
      <w:vertAlign w:val="superscript"/>
    </w:rPr>
  </w:style>
  <w:style w:type="table" w:styleId="755" w:customStyle="1">
    <w:name w:val="Сетка таблицы5"/>
    <w:basedOn w:val="737"/>
    <w:uiPriority w:val="39"/>
    <w:pPr>
      <w:ind w:firstLine="709"/>
      <w:jc w:val="both"/>
    </w:pPr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56" w:customStyle="1">
    <w:name w:val="Заголовок 3 Знак"/>
    <w:link w:val="734"/>
    <w:uiPriority w:val="9"/>
    <w:rPr>
      <w:rFonts w:ascii="Times New Roman" w:hAnsi="Times New Roman" w:eastAsiaTheme="minorHAnsi"/>
      <w:b/>
      <w:i/>
      <w:color w:val="003e75" w:themeColor="background2" w:themeShade="40"/>
      <w:sz w:val="28"/>
      <w:szCs w:val="28"/>
    </w:rPr>
  </w:style>
  <w:style w:type="table" w:styleId="757">
    <w:name w:val="Table Grid"/>
    <w:basedOn w:val="737"/>
    <w:uiPriority w:val="39"/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758" w:customStyle="1">
    <w:name w:val="Нет списка1"/>
    <w:next w:val="738"/>
    <w:uiPriority w:val="99"/>
    <w:semiHidden/>
    <w:unhideWhenUsed/>
  </w:style>
  <w:style w:type="paragraph" w:styleId="759" w:customStyle="1">
    <w:name w:val="Табл2"/>
    <w:basedOn w:val="731"/>
    <w:link w:val="760"/>
    <w:qFormat/>
    <w:pPr>
      <w:jc w:val="center"/>
      <w:widowControl w:val="off"/>
    </w:pPr>
    <w:rPr>
      <w:rFonts w:ascii="Times New Roman CYR" w:hAnsi="Times New Roman CYR"/>
    </w:rPr>
  </w:style>
  <w:style w:type="character" w:styleId="760" w:customStyle="1">
    <w:name w:val="Табл2 Знак"/>
    <w:link w:val="759"/>
    <w:rPr>
      <w:rFonts w:ascii="Times New Roman CYR" w:hAnsi="Times New Roman CYR" w:eastAsia="Times New Roman"/>
    </w:rPr>
  </w:style>
  <w:style w:type="table" w:styleId="761" w:customStyle="1">
    <w:name w:val="Сетка таблицы1"/>
    <w:basedOn w:val="737"/>
    <w:next w:val="757"/>
    <w:uiPriority w:val="59"/>
    <w:rPr>
      <w:rFonts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62">
    <w:name w:val="Footer"/>
    <w:basedOn w:val="731"/>
    <w:link w:val="763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/>
    </w:rPr>
  </w:style>
  <w:style w:type="character" w:styleId="763" w:customStyle="1">
    <w:name w:val="Нижний колонтитул Знак"/>
    <w:link w:val="762"/>
    <w:uiPriority w:val="99"/>
    <w:rPr>
      <w:rFonts w:eastAsia="Times New Roman"/>
    </w:rPr>
  </w:style>
  <w:style w:type="paragraph" w:styleId="764">
    <w:name w:val="Balloon Text"/>
    <w:basedOn w:val="731"/>
    <w:link w:val="765"/>
    <w:uiPriority w:val="99"/>
    <w:semiHidden/>
    <w:unhideWhenUsed/>
    <w:rPr>
      <w:rFonts w:ascii="Tahoma" w:hAnsi="Tahoma"/>
      <w:sz w:val="16"/>
      <w:szCs w:val="16"/>
    </w:rPr>
  </w:style>
  <w:style w:type="character" w:styleId="765" w:customStyle="1">
    <w:name w:val="Текст выноски Знак"/>
    <w:link w:val="764"/>
    <w:uiPriority w:val="99"/>
    <w:semiHidden/>
    <w:rPr>
      <w:rFonts w:ascii="Tahoma" w:hAnsi="Tahoma" w:eastAsia="Times New Roman"/>
      <w:sz w:val="16"/>
      <w:szCs w:val="16"/>
    </w:rPr>
  </w:style>
  <w:style w:type="paragraph" w:styleId="766" w:customStyle="1">
    <w:name w:val="s_1"/>
    <w:basedOn w:val="731"/>
    <w:pPr>
      <w:spacing w:before="100" w:beforeAutospacing="1" w:after="100" w:afterAutospacing="1"/>
    </w:pPr>
    <w:rPr>
      <w:sz w:val="24"/>
      <w:szCs w:val="24"/>
    </w:rPr>
  </w:style>
  <w:style w:type="paragraph" w:styleId="767" w:customStyle="1">
    <w:name w:val="ConsPlusNormal"/>
    <w:link w:val="775"/>
    <w:qFormat/>
    <w:pPr>
      <w:widowControl w:val="off"/>
    </w:pPr>
    <w:rPr>
      <w:rFonts w:eastAsia="Times New Roman" w:cs="Calibri"/>
      <w:sz w:val="22"/>
    </w:rPr>
  </w:style>
  <w:style w:type="paragraph" w:styleId="768" w:customStyle="1">
    <w:name w:val="Default"/>
    <w:rPr>
      <w:rFonts w:ascii="Times New Roman" w:hAnsi="Times New Roman"/>
      <w:color w:val="000000"/>
      <w:sz w:val="24"/>
      <w:szCs w:val="24"/>
      <w:lang w:eastAsia="en-US"/>
    </w:rPr>
  </w:style>
  <w:style w:type="character" w:styleId="769">
    <w:name w:val="annotation reference"/>
    <w:uiPriority w:val="99"/>
    <w:semiHidden/>
    <w:unhideWhenUsed/>
    <w:rPr>
      <w:sz w:val="16"/>
      <w:szCs w:val="16"/>
    </w:rPr>
  </w:style>
  <w:style w:type="paragraph" w:styleId="770">
    <w:name w:val="annotation text"/>
    <w:basedOn w:val="731"/>
    <w:link w:val="771"/>
    <w:uiPriority w:val="99"/>
    <w:semiHidden/>
    <w:unhideWhenUsed/>
    <w:pPr>
      <w:spacing w:after="200" w:line="276" w:lineRule="auto"/>
    </w:pPr>
    <w:rPr>
      <w:rFonts w:ascii="Calibri" w:hAnsi="Calibri"/>
    </w:rPr>
  </w:style>
  <w:style w:type="character" w:styleId="771" w:customStyle="1">
    <w:name w:val="Текст примечания Знак"/>
    <w:link w:val="770"/>
    <w:uiPriority w:val="99"/>
    <w:semiHidden/>
    <w:rPr>
      <w:rFonts w:eastAsia="Times New Roman"/>
    </w:rPr>
  </w:style>
  <w:style w:type="paragraph" w:styleId="772">
    <w:name w:val="annotation subject"/>
    <w:basedOn w:val="770"/>
    <w:next w:val="770"/>
    <w:link w:val="773"/>
    <w:uiPriority w:val="99"/>
    <w:semiHidden/>
    <w:unhideWhenUsed/>
    <w:rPr>
      <w:b/>
      <w:bCs/>
    </w:rPr>
  </w:style>
  <w:style w:type="character" w:styleId="773" w:customStyle="1">
    <w:name w:val="Тема примечания Знак"/>
    <w:link w:val="772"/>
    <w:uiPriority w:val="99"/>
    <w:semiHidden/>
    <w:rPr>
      <w:rFonts w:eastAsia="Times New Roman"/>
      <w:b/>
      <w:bCs/>
    </w:rPr>
  </w:style>
  <w:style w:type="character" w:styleId="774">
    <w:name w:val="FollowedHyperlink"/>
    <w:uiPriority w:val="99"/>
    <w:semiHidden/>
    <w:unhideWhenUsed/>
    <w:rPr>
      <w:color w:val="800080"/>
      <w:u w:val="single"/>
    </w:rPr>
  </w:style>
  <w:style w:type="character" w:styleId="775" w:customStyle="1">
    <w:name w:val="ConsPlusNormal Знак"/>
    <w:link w:val="767"/>
    <w:rPr>
      <w:rFonts w:eastAsia="Times New Roman" w:cs="Calibri"/>
      <w:sz w:val="22"/>
    </w:rPr>
  </w:style>
  <w:style w:type="character" w:styleId="776" w:customStyle="1">
    <w:name w:val="apple-converted-space"/>
    <w:basedOn w:val="736"/>
  </w:style>
  <w:style w:type="paragraph" w:styleId="777" w:customStyle="1">
    <w:name w:val="Standard"/>
    <w:pPr>
      <w:widowControl w:val="off"/>
    </w:pPr>
    <w:rPr>
      <w:rFonts w:ascii="Times New Roman" w:hAnsi="Times New Roman" w:eastAsia="Andale Sans UI" w:cs="Tahoma"/>
      <w:sz w:val="24"/>
      <w:szCs w:val="24"/>
      <w:lang w:val="en-US" w:eastAsia="en-US" w:bidi="en-US"/>
    </w:rPr>
  </w:style>
  <w:style w:type="paragraph" w:styleId="778">
    <w:name w:val="Document Map"/>
    <w:basedOn w:val="731"/>
    <w:link w:val="779"/>
    <w:uiPriority w:val="99"/>
    <w:semiHidden/>
    <w:unhideWhenUsed/>
    <w:rPr>
      <w:rFonts w:ascii="Tahoma" w:hAnsi="Tahoma" w:cs="Tahoma"/>
      <w:sz w:val="16"/>
      <w:szCs w:val="16"/>
    </w:rPr>
  </w:style>
  <w:style w:type="character" w:styleId="779" w:customStyle="1">
    <w:name w:val="Схема документа Знак"/>
    <w:basedOn w:val="736"/>
    <w:link w:val="778"/>
    <w:uiPriority w:val="99"/>
    <w:semiHidden/>
    <w:rPr>
      <w:rFonts w:ascii="Tahoma" w:hAnsi="Tahoma" w:eastAsia="Times New Roman" w:cs="Tahoma"/>
      <w:sz w:val="16"/>
      <w:szCs w:val="16"/>
    </w:rPr>
  </w:style>
  <w:style w:type="paragraph" w:styleId="780">
    <w:name w:val="TOC Heading"/>
    <w:basedOn w:val="732"/>
    <w:next w:val="731"/>
    <w:uiPriority w:val="39"/>
    <w:unhideWhenUsed/>
    <w:qFormat/>
    <w:pPr>
      <w:jc w:val="left"/>
      <w:keepLines/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i w:val="0"/>
      <w:iCs w:val="0"/>
      <w:color w:val="5ea226" w:themeColor="accent1" w:themeShade="BF"/>
      <w:sz w:val="32"/>
      <w:szCs w:val="32"/>
      <w:lang w:eastAsia="ru-RU"/>
    </w:rPr>
  </w:style>
  <w:style w:type="paragraph" w:styleId="781">
    <w:name w:val="toc 1"/>
    <w:basedOn w:val="731"/>
    <w:next w:val="731"/>
    <w:uiPriority w:val="39"/>
    <w:unhideWhenUsed/>
    <w:pPr>
      <w:spacing w:after="100"/>
    </w:pPr>
  </w:style>
  <w:style w:type="paragraph" w:styleId="782">
    <w:name w:val="toc 2"/>
    <w:basedOn w:val="731"/>
    <w:next w:val="731"/>
    <w:uiPriority w:val="39"/>
    <w:unhideWhenUsed/>
    <w:pPr>
      <w:ind w:left="200"/>
      <w:spacing w:after="100"/>
    </w:pPr>
  </w:style>
  <w:style w:type="paragraph" w:styleId="783">
    <w:name w:val="toc 3"/>
    <w:basedOn w:val="731"/>
    <w:next w:val="731"/>
    <w:uiPriority w:val="39"/>
    <w:unhideWhenUsed/>
    <w:pPr>
      <w:ind w:left="400"/>
      <w:spacing w:after="100"/>
    </w:pPr>
  </w:style>
  <w:style w:type="paragraph" w:styleId="784">
    <w:name w:val="No Spacing"/>
    <w:link w:val="785"/>
    <w:uiPriority w:val="1"/>
    <w:qFormat/>
    <w:rPr>
      <w:rFonts w:asciiTheme="minorHAnsi" w:hAnsiTheme="minorHAnsi" w:eastAsiaTheme="minorEastAsia" w:cstheme="minorBidi"/>
      <w:sz w:val="22"/>
      <w:szCs w:val="22"/>
      <w:lang w:eastAsia="en-US"/>
    </w:rPr>
  </w:style>
  <w:style w:type="character" w:styleId="785" w:customStyle="1">
    <w:name w:val="Без интервала Знак"/>
    <w:basedOn w:val="736"/>
    <w:link w:val="784"/>
    <w:uiPriority w:val="1"/>
    <w:rPr>
      <w:rFonts w:asciiTheme="minorHAnsi" w:hAnsiTheme="minorHAnsi" w:eastAsiaTheme="minorEastAsia" w:cstheme="minorBidi"/>
      <w:sz w:val="22"/>
      <w:szCs w:val="22"/>
      <w:lang w:eastAsia="en-US"/>
    </w:rPr>
  </w:style>
  <w:style w:type="character" w:styleId="786" w:customStyle="1">
    <w:name w:val="Заголовок 4 Знак"/>
    <w:basedOn w:val="736"/>
    <w:link w:val="735"/>
    <w:uiPriority w:val="9"/>
    <w:semiHidden/>
    <w:rPr>
      <w:rFonts w:asciiTheme="majorHAnsi" w:hAnsiTheme="majorHAnsi" w:eastAsiaTheme="majorEastAsia" w:cstheme="majorBidi"/>
      <w:i/>
      <w:iCs/>
      <w:color w:val="5ea226" w:themeColor="accent1" w:themeShade="BF"/>
    </w:rPr>
  </w:style>
  <w:style w:type="paragraph" w:styleId="787" w:customStyle="1">
    <w:name w:val="Прижатый влево"/>
    <w:basedOn w:val="731"/>
    <w:next w:val="731"/>
    <w:uiPriority w:val="99"/>
    <w:pPr>
      <w:widowControl w:val="off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hyperlink" Target="consultantplus://offline/ref=5B926C1450E43BD87E0F9F3C662B35C03D0A3C007166DC27E4CF145A214AF28DBBB6B3BC85D207B9C2h8K" TargetMode="External"/><Relationship Id="rId14" Type="http://schemas.openxmlformats.org/officeDocument/2006/relationships/hyperlink" Target="consultantplus://offline/ref=5B926C1450E43BD87E0F9F3C662B35C03D0B37017963DC27E4CF145A214AF28DBBB6B3BCC8hDK" TargetMode="External"/><Relationship Id="rId15" Type="http://schemas.openxmlformats.org/officeDocument/2006/relationships/image" Target="media/image1.jpg"/><Relationship Id="rId16" Type="http://schemas.openxmlformats.org/officeDocument/2006/relationships/hyperlink" Target="http://kolivankcson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verPageProperties xmlns="http://schemas.microsoft.com/office/2006/coverPageProps">
  <PublishDate>2026</PublishDate>
  <Abstract/>
  <CompanyAddress>г. Новосибирск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80E1C183-96B0-4410-B560-C0A547AEA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ТИПОГРАФИЯ ЮВИ-ПРИНТ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>по сбору и обобщению информации о качестве условий оказания услуг организациями в сфере социального обслуживания населения в Томской области</dc:subject>
  <dc:creator>Vladimir</dc:creator>
  <cp:revision>3</cp:revision>
  <dcterms:created xsi:type="dcterms:W3CDTF">2026-05-03T12:01:00Z</dcterms:created>
  <dcterms:modified xsi:type="dcterms:W3CDTF">2026-05-13T03:07:14Z</dcterms:modified>
</cp:coreProperties>
</file>