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margin" w:tblpY="751" w:leftFromText="180" w:topFromText="0" w:rightFromText="180" w:bottomFromText="0"/>
        <w:tblW w:w="102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7147"/>
        <w:gridCol w:w="2492"/>
      </w:tblGrid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№ п/п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Наименование показателя деятельности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  <w:t xml:space="preserve">Значение</w:t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1.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contextualSpacing/>
              <w:jc w:val="both"/>
              <w:rPr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Наличие у образоват</w:t>
            </w:r>
            <w:r>
              <w:rPr>
                <w:sz w:val="18"/>
                <w:szCs w:val="18"/>
              </w:rPr>
              <w:t xml:space="preserve">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 (далее - организации) опыта работы по следующим направлениям:</w:t>
            </w:r>
            <w:r>
              <w:rPr>
                <w:sz w:val="18"/>
                <w:szCs w:val="18"/>
              </w:rPr>
            </w:r>
          </w:p>
          <w:p>
            <w:pPr>
              <w:pStyle w:val="838"/>
              <w:contextualSpacing/>
              <w:ind w:firstLine="540"/>
              <w:jc w:val="both"/>
              <w:rPr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- защита прав и законных</w:t>
            </w:r>
            <w:r>
              <w:rPr>
                <w:sz w:val="18"/>
                <w:szCs w:val="18"/>
              </w:rPr>
              <w:t xml:space="preserve"> интересов несовершеннолетних граждан, в том числе оставшихся без попечения родителей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      </w:r>
            <w:r>
              <w:rPr>
                <w:sz w:val="18"/>
                <w:szCs w:val="18"/>
              </w:rPr>
            </w:r>
          </w:p>
          <w:p>
            <w:pPr>
              <w:pStyle w:val="838"/>
              <w:contextualSpacing/>
              <w:ind w:firstLine="540"/>
              <w:jc w:val="both"/>
              <w:rPr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- профилактика безнадзорности и беспризорности, социального сиротства, жестокого обращения с несовершеннолетними гражданами;</w:t>
            </w:r>
            <w:r>
              <w:rPr>
                <w:sz w:val="18"/>
                <w:szCs w:val="18"/>
              </w:rPr>
            </w:r>
          </w:p>
          <w:p>
            <w:pPr>
              <w:pStyle w:val="838"/>
              <w:contextualSpacing/>
              <w:ind w:firstLine="540"/>
              <w:jc w:val="both"/>
              <w:rPr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- о</w:t>
            </w:r>
            <w:r>
              <w:rPr>
                <w:sz w:val="18"/>
                <w:szCs w:val="18"/>
              </w:rPr>
              <w:t xml:space="preserve">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      </w:r>
            <w:r>
              <w:rPr>
                <w:sz w:val="18"/>
                <w:szCs w:val="18"/>
              </w:rPr>
            </w:r>
          </w:p>
          <w:p>
            <w:pPr>
              <w:pStyle w:val="838"/>
              <w:contextualSpacing/>
              <w:ind w:firstLine="540"/>
              <w:jc w:val="both"/>
              <w:rPr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- 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      </w:r>
            <w:r>
              <w:rPr>
                <w:sz w:val="18"/>
                <w:szCs w:val="18"/>
              </w:rPr>
            </w:r>
          </w:p>
          <w:p>
            <w:pPr>
              <w:pStyle w:val="838"/>
              <w:contextualSpacing/>
              <w:ind w:firstLine="540"/>
              <w:jc w:val="both"/>
              <w:rPr>
                <w:sz w:val="18"/>
                <w:szCs w:val="18"/>
                <w:highlight w:val="yellow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- содействие семейному устройству детей на воспитание в семью, включая консультирование лиц, желающих усыновить (удочерить) или принять под опеку (попечительство) ребенка,</w:t>
            </w:r>
            <w:r>
              <w:rPr>
                <w:sz w:val="18"/>
                <w:szCs w:val="18"/>
              </w:rPr>
              <w:t xml:space="preserve"> по вопросам семейного устройства и защиты прав детей, в том числе участие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подготовке.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  <w:highlight w:val="yellow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  <w:t xml:space="preserve">Перечислить имеющиеся</w:t>
            </w:r>
            <w:r>
              <w:rPr>
                <w:bCs/>
                <w:i/>
                <w:sz w:val="18"/>
                <w:szCs w:val="18"/>
                <w:highlight w:val="yellow"/>
              </w:rPr>
            </w:r>
            <w:r>
              <w:rPr>
                <w:bCs/>
                <w:i/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2.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contextualSpacing/>
              <w:jc w:val="both"/>
              <w:rPr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Продолжительность осуществления деятельности организации на территории Новосибирской области в социальной сфере.</w:t>
            </w:r>
            <w:r>
              <w:rPr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3.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Наличие в штате организации работников, специализирующихся по направлениям деятельности, соответствующим полномочию органа опеки и попечит</w:t>
            </w:r>
            <w:r>
              <w:rPr>
                <w:sz w:val="18"/>
                <w:szCs w:val="18"/>
              </w:rPr>
              <w:t xml:space="preserve">ельства по подбору и подготовке граждан, выразивших желание стать опекунами или попечителями несовершеннолетних граждан либо принять</w:t>
            </w:r>
            <w:r>
              <w:rPr>
                <w:sz w:val="18"/>
                <w:szCs w:val="18"/>
              </w:rPr>
              <w:t xml:space="preserve"> детей, оставшихся без попечения родителей, в семью на воспитание в иных установленных семейным законодательством Российской Федерации формах (далее - полномочие), подтвержденного списками специалистов (учитывается наличие опыта работы в социальной сфере).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4.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sz w:val="18"/>
                <w:szCs w:val="18"/>
              </w:rPr>
              <w:t xml:space="preserve">Наличие у организации материально-технических и иных возможностей для осуществления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 (</w:t>
            </w:r>
            <w:r>
              <w:rPr>
                <w:sz w:val="18"/>
                <w:szCs w:val="18"/>
              </w:rPr>
              <w:t xml:space="preserve">наличие нежилого помещения для проведения очных занятий, </w:t>
            </w:r>
            <w:r>
              <w:rPr>
                <w:sz w:val="18"/>
                <w:szCs w:val="18"/>
              </w:rPr>
              <w:t xml:space="preserve">количество единиц оборудования и других материальных ресурсов, планируемых к использованию).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5.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contextualSpacing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Размещение на официальном сайте организации в сети «Интернет» публичного годового отчета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6.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Обеспечение организацией условий доступности для инвалидов и иных маломобильных групп населения.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7.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Охват граждан/ муниципальных образований Новосибирской области подготовкой (показатель за год):</w:t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838"/>
              <w:ind w:firstLine="535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- планируемое количество граждан</w:t>
            </w:r>
            <w:r>
              <w:rPr>
                <w:bCs/>
                <w:sz w:val="18"/>
                <w:szCs w:val="18"/>
              </w:rPr>
              <w:t xml:space="preserve">;</w:t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838"/>
              <w:ind w:firstLine="535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- количество граждан, прошедших подготовку за год</w:t>
            </w:r>
            <w:r>
              <w:rPr>
                <w:bCs/>
                <w:sz w:val="18"/>
                <w:szCs w:val="18"/>
              </w:rPr>
              <w:t xml:space="preserve"> (по факту)</w:t>
            </w:r>
            <w:r>
              <w:rPr>
                <w:bCs/>
                <w:sz w:val="18"/>
                <w:szCs w:val="18"/>
              </w:rPr>
              <w:t xml:space="preserve">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Оценка степени удовлетворенности граждан качеством обучения в организации:</w:t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838"/>
              <w:ind w:firstLine="535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- доля граждан, прошедших обучение за отчетный период, удовлетворенных качеством обучения, от общего количества граждан, прошедших обучение за отчетный период;</w:t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838"/>
              <w:ind w:firstLine="535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- количество жалоб граждан на качество обучения, поступивших в организацию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за отчетный период (из них: количество жалоб, </w:t>
            </w:r>
            <w:r>
              <w:rPr>
                <w:sz w:val="18"/>
                <w:szCs w:val="18"/>
                <w:shd w:val="clear" w:color="auto" w:fill="ffffff"/>
              </w:rPr>
              <w:t xml:space="preserve">в которых приведенные 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факты</w:t>
            </w:r>
            <w:r>
              <w:rPr>
                <w:sz w:val="18"/>
                <w:szCs w:val="18"/>
                <w:shd w:val="clear" w:color="auto" w:fill="ffffff"/>
              </w:rPr>
              <w:t xml:space="preserve"> подтвердились)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W w:w="56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8.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147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bCs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sz w:val="18"/>
                <w:szCs w:val="18"/>
              </w:rPr>
              <w:t xml:space="preserve">Проведение организацией антикоррупционных мероприятий.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2492" w:type="dxa"/>
            <w:vAlign w:val="top"/>
            <w:textDirection w:val="lrTb"/>
            <w:noWrap w:val="false"/>
          </w:tcPr>
          <w:p>
            <w:pPr>
              <w:pStyle w:val="838"/>
              <w:rPr>
                <w:bCs/>
                <w:i/>
                <w:sz w:val="18"/>
                <w:szCs w:val="18"/>
              </w:rPr>
              <w:framePr w:hSpace="180" w:wrap="around" w:vAnchor="margin" w:hAnchor="margin" w:y="751"/>
            </w:pPr>
            <w:r>
              <w:rPr>
                <w:bCs/>
                <w:i/>
                <w:sz w:val="18"/>
                <w:szCs w:val="18"/>
              </w:rPr>
            </w:r>
            <w:r>
              <w:rPr>
                <w:bCs/>
                <w:i/>
                <w:sz w:val="18"/>
                <w:szCs w:val="18"/>
              </w:rPr>
            </w:r>
          </w:p>
        </w:tc>
      </w:tr>
    </w:tbl>
    <w:p>
      <w:pPr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right"/>
        <w:rPr>
          <w:sz w:val="28"/>
          <w:szCs w:val="28"/>
          <w:highlight w:val="none"/>
        </w:rPr>
      </w:pPr>
      <w:r>
        <w:rPr>
          <w:i/>
          <w:iCs/>
          <w:sz w:val="28"/>
          <w:szCs w:val="28"/>
          <w:highlight w:val="none"/>
        </w:rPr>
        <w:t xml:space="preserve">Приложение № 1</w:t>
      </w:r>
      <w:r>
        <w:rPr>
          <w:i/>
          <w:i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425" w:right="624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2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ru-RU" w:eastAsia="ru-RU" w:bidi="ar-SA"/>
    </w:rPr>
  </w:style>
  <w:style w:type="character" w:styleId="839">
    <w:name w:val="Основной шрифт абзаца"/>
    <w:next w:val="839"/>
    <w:link w:val="838"/>
    <w:uiPriority w:val="1"/>
    <w:semiHidden/>
    <w:unhideWhenUsed/>
  </w:style>
  <w:style w:type="table" w:styleId="840">
    <w:name w:val="Обычная таблица"/>
    <w:next w:val="840"/>
    <w:link w:val="838"/>
    <w:uiPriority w:val="99"/>
    <w:semiHidden/>
    <w:unhideWhenUsed/>
    <w:qFormat/>
    <w:tblPr/>
  </w:style>
  <w:style w:type="numbering" w:styleId="841">
    <w:name w:val="Нет списка"/>
    <w:next w:val="841"/>
    <w:link w:val="838"/>
    <w:uiPriority w:val="99"/>
    <w:semiHidden/>
    <w:unhideWhenUsed/>
  </w:style>
  <w:style w:type="paragraph" w:styleId="842">
    <w:name w:val="Основной текст"/>
    <w:basedOn w:val="838"/>
    <w:next w:val="842"/>
    <w:link w:val="838"/>
    <w:rPr>
      <w:sz w:val="28"/>
      <w:szCs w:val="20"/>
    </w:rPr>
  </w:style>
  <w:style w:type="paragraph" w:styleId="843">
    <w:name w:val="Текст выноски"/>
    <w:basedOn w:val="838"/>
    <w:next w:val="843"/>
    <w:link w:val="838"/>
    <w:semiHidden/>
    <w:rPr>
      <w:rFonts w:ascii="Tahoma" w:hAnsi="Tahoma" w:cs="Tahoma"/>
      <w:sz w:val="16"/>
      <w:szCs w:val="16"/>
    </w:rPr>
  </w:style>
  <w:style w:type="paragraph" w:styleId="844">
    <w:name w:val="Абзац списка"/>
    <w:basedOn w:val="838"/>
    <w:next w:val="844"/>
    <w:link w:val="838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table" w:styleId="845">
    <w:name w:val="Сетка таблицы"/>
    <w:basedOn w:val="840"/>
    <w:next w:val="845"/>
    <w:link w:val="838"/>
    <w:uiPriority w:val="99"/>
    <w:tblPr/>
  </w:style>
  <w:style w:type="paragraph" w:styleId="846">
    <w:name w:val="Текст концевой сноски"/>
    <w:basedOn w:val="838"/>
    <w:next w:val="846"/>
    <w:link w:val="847"/>
    <w:uiPriority w:val="99"/>
    <w:unhideWhenUsed/>
    <w:rPr>
      <w:rFonts w:ascii="Calibri" w:hAnsi="Calibri"/>
      <w:sz w:val="20"/>
      <w:szCs w:val="20"/>
    </w:rPr>
  </w:style>
  <w:style w:type="character" w:styleId="847">
    <w:name w:val="Текст концевой сноски Знак"/>
    <w:basedOn w:val="839"/>
    <w:next w:val="847"/>
    <w:link w:val="846"/>
    <w:uiPriority w:val="99"/>
    <w:rPr>
      <w:rFonts w:ascii="Calibri" w:hAnsi="Calibri"/>
    </w:rPr>
  </w:style>
  <w:style w:type="character" w:styleId="848">
    <w:name w:val="Знак концевой сноски"/>
    <w:basedOn w:val="839"/>
    <w:next w:val="848"/>
    <w:link w:val="838"/>
    <w:uiPriority w:val="99"/>
    <w:unhideWhenUsed/>
    <w:rPr>
      <w:vertAlign w:val="superscript"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межведомственной координации вопросов демографической и семейной политики</dc:title>
  <dc:creator>cev</dc:creator>
  <cp:revision>210</cp:revision>
  <dcterms:created xsi:type="dcterms:W3CDTF">2017-07-12T05:36:00Z</dcterms:created>
  <dcterms:modified xsi:type="dcterms:W3CDTF">2025-06-23T03:55:08Z</dcterms:modified>
  <cp:version>786432</cp:version>
</cp:coreProperties>
</file>