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headerReference w:type="even" r:id="rId6"/>
          <w:headerReference w:type="default" r:id="rId7"/>
          <w:headerReference w:type="first" r:id="rId8"/>
          <w:type w:val="nextPage"/>
          <w:pgSz w:w="11906" w:h="16838"/>
          <w:pgMar w:top="993" w:right="707" w:bottom="851" w:left="1418" w:header="709" w:footer="0" w:gutter="0"/>
          <w:cols w:space="708"/>
          <w:docGrid w:linePitch="360"/>
          <w:titlePg/>
        </w:sectPr>
      </w:pP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5"/>
        <w:gridCol w:w="6690"/>
        <w:gridCol w:w="540"/>
        <w:gridCol w:w="1303"/>
      </w:tblGrid>
      <w:tr>
        <w:trPr/>
        <w:tc>
          <w:tcPr>
            <w:tcW w:w="1355" w:type="dxa"/>
            <w:tcBorders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14.02.2024</w:t>
            </w:r>
          </w:p>
        </w:tc>
        <w:tc>
          <w:tcPr>
            <w:tcW w:w="6690" w:type="dxa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241-НПА</w:t>
            </w:r>
          </w:p>
        </w:tc>
      </w:tr>
      <w:tr>
        <w:trPr>
          <w:trHeight w:val="347"/>
        </w:trPr>
        <w:tc>
          <w:tcPr>
            <w:tcW w:w="9888" w:type="dxa"/>
            <w:gridSpan w:val="4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</w:p>
        </w:tc>
      </w:tr>
    </w:tbl>
    <w:p>
      <w:pPr>
        <w:pStyle w:val="Heading4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сведений о порядке сбора информации и методике расчета показателей, включенных в паспорта государственной программы Новосибирской области «Социальная поддержка в Новосибирской области» 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ее структурных элементов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приказов министерства труда и социального развития Новосибирской области от 30.05.2024 № 1119-НПА, от 18.06.2024 № 1320-НПА, от 25.10.2024 № 2339-НПА, от 09.01.2025 № 2-НПА, от 28.04.2025 № 805-НПА, </w:t>
      </w:r>
      <w:r>
        <w:rPr>
          <w:rFonts w:ascii="Times New Roman" w:hAnsi="Times New Roman"/>
          <w:sz w:val="28"/>
          <w:szCs w:val="28"/>
        </w:rPr>
        <w:t xml:space="preserve">от 11.07.2025 № 1352-НПА</w:t>
      </w:r>
      <w:r>
        <w:rPr>
          <w:rFonts w:ascii="Times New Roman" w:hAnsi="Times New Roman"/>
          <w:sz w:val="28"/>
          <w:szCs w:val="28"/>
        </w:rPr>
        <w:t xml:space="preserve">)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подпунктом 5 пункта 10 раздела IV Методических указаний по разработке и реализации государственных программ Новосибирской области для II этапа реализации государственных программ Новосибирской области, установленного перечнем государственных программ Новосибирской области, утвержденным распоряжением Правительства Новосибирской области от 21.08.2018 № 310-рп, утвержденных приказом министерства экономического развития Новосибирской области от 29.12.2017 № 154 «Об утверждении методических указаний по разработке и реализации государственных программ Новосибирской области»,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сведения о порядке сбора информации и методике расчета показателей, включенных в паспорта государственной программы Новосибирской области «Социальная поддержка в Новосибирской области» и ее структурных элементов, согласно приложению к настоящему приказу.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исполнением приказа оставляю за собой.</w:t>
      </w:r>
    </w:p>
    <w:p>
      <w:pPr>
        <w:pStyle w:val="Style15"/>
        <w:spacing w:before="0"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Style15"/>
        <w:spacing w:before="0"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Style15"/>
        <w:spacing w:before="0"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</w:t>
        <w:tab/>
        <w:tab/>
        <w:tab/>
        <w:tab/>
        <w:tab/>
        <w:tab/>
        <w:tab/>
        <w:tab/>
        <w:tab/>
        <w:tab/>
        <w:t xml:space="preserve">     Е.В. Бахарева</w:t>
      </w:r>
    </w:p>
    <w:p>
      <w:pPr>
        <w:pStyle w:val="Style15"/>
        <w:spacing w:before="0"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top="993" w:right="707" w:bottom="851" w:left="1418" w:header="709" w:footer="0" w:gutter="0"/>
          <w:cols w:space="708"/>
          <w:docGrid w:linePitch="360"/>
          <w:titlePg/>
        </w:sectPr>
      </w:pPr>
    </w:p>
    <w:p>
      <w:pPr>
        <w:pStyle w:val="Normal"/>
        <w:widowControl w:val="off"/>
        <w:tabs>
          <w:tab w:val="clear" w:pos="708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spacing w:before="0"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widowControl w:val="off"/>
        <w:tabs>
          <w:tab w:val="clear" w:pos="708"/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spacing w:before="0"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труда</w:t>
      </w:r>
    </w:p>
    <w:p>
      <w:pPr>
        <w:pStyle w:val="Normal"/>
        <w:widowControl w:val="off"/>
        <w:tabs>
          <w:tab w:val="clear" w:pos="708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spacing w:before="0"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социального развития</w:t>
      </w:r>
    </w:p>
    <w:p>
      <w:pPr>
        <w:pStyle w:val="Normal"/>
        <w:widowControl w:val="off"/>
        <w:tabs>
          <w:tab w:val="clear" w:pos="708"/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spacing w:before="0"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</w:p>
    <w:p>
      <w:pPr>
        <w:pStyle w:val="Normal"/>
        <w:widowControl w:val="off"/>
        <w:tabs>
          <w:tab w:val="clear" w:pos="708"/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spacing w:before="0"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14.02.2024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 xml:space="preserve">241-НПА</w:t>
      </w:r>
    </w:p>
    <w:p>
      <w:pPr>
        <w:pStyle w:val="Normal"/>
        <w:widowControl w:val="off"/>
        <w:tabs>
          <w:tab w:val="clear" w:pos="708"/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before="0" w:after="0" w:line="240" w:lineRule="auto"/>
        <w:jc w:val="right"/>
        <w:rPr>
          <w:rFonts w:ascii="Times New Roman" w:hAnsi="Times New Roman" w:eastAsia="DejaVu Sans"/>
          <w:sz w:val="28"/>
          <w:szCs w:val="28"/>
          <w:lang w:eastAsia="zh-CN" w:bidi="hi-IN"/>
        </w:rPr>
      </w:pPr>
      <w:r>
        <w:rPr>
          <w:rFonts w:ascii="Times New Roman" w:hAnsi="Times New Roman" w:eastAsia="DejaVu Sans"/>
          <w:sz w:val="28"/>
          <w:szCs w:val="28"/>
          <w:lang w:eastAsia="zh-CN" w:bidi="hi-IN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Сведения о порядке сбора информации и методике расчета показателей, 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включенных в паспорта государственной программы Новосибирской области 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«Социальная поддержка в Новосибирской области»</w:t>
      </w:r>
      <w:r>
        <w:rPr>
          <w:rFonts w:ascii="Times New Roman" w:hAnsi="Times New Roman"/>
          <w:b/>
          <w:sz w:val="28"/>
          <w:szCs w:val="24"/>
        </w:rPr>
        <w:t xml:space="preserve"> и ее структурных элементов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83" w:type="dxa"/>
        <w:tblInd w:w="17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701"/>
        <w:gridCol w:w="225"/>
        <w:gridCol w:w="1618"/>
        <w:gridCol w:w="141"/>
        <w:gridCol w:w="3335"/>
        <w:gridCol w:w="3260"/>
        <w:gridCol w:w="1626"/>
      </w:tblGrid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№ </w:t>
            </w:r>
            <w:r>
              <w:rPr>
                <w:shd w:val="clear" w:fill="auto"/>
              </w:rPr>
              <w:t xml:space="preserve">п/п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Наименование показателя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Периодичность сбора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Вид временной характеристики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Методика расчета</w:t>
            </w:r>
          </w:p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(плановых и фактических значений)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Источник получения данных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Ответственный</w:t>
            </w:r>
          </w:p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исполнитель</w:t>
            </w:r>
          </w:p>
        </w:tc>
      </w:tr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rFonts w:cs="Times New Roman"/>
                <w:sz w:val="24"/>
                <w:szCs w:val="24"/>
                <w:shd w:val="clear" w:fill="auto"/>
              </w:rPr>
            </w:pPr>
            <w:r>
              <w:rPr>
                <w:rFonts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rFonts w:cs="Times New Roman"/>
                <w:sz w:val="24"/>
                <w:szCs w:val="24"/>
                <w:shd w:val="clear" w:fill="auto"/>
              </w:rPr>
            </w:pPr>
            <w:r>
              <w:rPr>
                <w:rFonts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rFonts w:cs="Times New Roman"/>
                <w:sz w:val="24"/>
                <w:szCs w:val="24"/>
                <w:shd w:val="clear" w:fill="auto"/>
              </w:rPr>
            </w:pPr>
            <w:r>
              <w:rPr>
                <w:rFonts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rFonts w:cs="Times New Roman"/>
                <w:sz w:val="24"/>
                <w:szCs w:val="24"/>
                <w:shd w:val="clear" w:fill="auto"/>
              </w:rPr>
            </w:pPr>
            <w:r>
              <w:rPr>
                <w:rFonts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rFonts w:cs="Times New Roman"/>
                <w:sz w:val="24"/>
                <w:szCs w:val="24"/>
                <w:shd w:val="clear" w:fill="auto"/>
              </w:rPr>
            </w:pPr>
            <w:r>
              <w:rPr>
                <w:rFonts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10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4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7</w:t>
            </w:r>
          </w:p>
        </w:tc>
      </w:tr>
      <w:tr>
        <w:trPr>
          <w:trHeight w:val="600"/>
        </w:trPr>
        <w:tc>
          <w:tcPr>
            <w:tcW w:w="14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120"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Показатели государственной программы Новосибирской области «Социальная поддержка в Новосибирской области»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color w:val="000000"/>
                <w:shd w:val="clear" w:fill="auto"/>
              </w:rPr>
              <w:t xml:space="preserve"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color w:val="000000"/>
                <w:shd w:val="clear" w:fill="auto"/>
              </w:rPr>
              <w:t xml:space="preserve"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-57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на основании анализа фактических значений показателя за 2022-2024 годы, а также с учетом мер социальной поддержки, запланированных к реализации в рамках в рамках следующих структурных элементов: КПМ «Семья и дети», КПМ «Адресная поддержка отдельных категорий граждан»</w:t>
            </w:r>
          </w:p>
          <w:p>
            <w:pPr>
              <w:pStyle w:val="Normal"/>
              <w:spacing w:before="0"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ind w:left="-57" w:right="-57" w:firstLine="0"/>
              <w:rPr>
                <w:rFonts w:cs="Times New Roman"/>
                <w:color w:val="ff0000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100% х количество граждан, получающих меры социальной поддержки (компенсацию, пособие, субсидию)/количество граждан, имеющих право на меры социальной поддержки, из числа обратившихся.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rFonts w:cs="Times New Roman"/>
                <w:color w:val="ff0000"/>
                <w:sz w:val="24"/>
                <w:szCs w:val="24"/>
                <w:shd w:val="clear" w:fill="auto"/>
              </w:rPr>
            </w:pPr>
            <w:r>
              <w:rPr>
                <w:rFonts w:cs="Times New Roman"/>
                <w:color w:val="ff0000"/>
                <w:sz w:val="24"/>
                <w:szCs w:val="24"/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trike w:val="0"/>
                <w:shd w:val="clear" w:fill="auto"/>
              </w:rPr>
              <w:t xml:space="preserve">Достижение значений показателя осуществляется, в том числе за счет мер, реализуемых в рамках следующих структурных элементов: КПМ «Семья и дети», КПМ «Адресная поддержка отдельных категорий граждан»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Расчеты выполняются на основании внутренних сведений, собираемых и формируемых МТиСР НСО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Управление организации социальных выплат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color w:val="000000"/>
                <w:shd w:val="clear" w:fill="auto"/>
              </w:rPr>
              <w:t xml:space="preserve"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</w:t>
            </w:r>
            <w:r>
              <w:rPr>
                <w:b/>
                <w:shd w:val="clear" w:fill="auto"/>
              </w:rPr>
              <w:t xml:space="preserve">превысил </w:t>
            </w:r>
            <w:r>
              <w:rPr>
                <w:shd w:val="clear" w:fill="auto"/>
              </w:rPr>
              <w:t xml:space="preserve">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1"/>
              <w:ind w:left="0" w:right="-57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месячная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1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Плановые значения: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shd w:val="clear" w:fill="auto"/>
              </w:rPr>
              <w:t xml:space="preserve">устанавливаются в соответствии с соглашением от 14.12.2022 № 2022-00875 «О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«Социальная поддержка граждан» (декомпозирован на уровень Новосибирской области).</w:t>
            </w:r>
          </w:p>
          <w:p>
            <w:pPr>
              <w:pStyle w:val="ConsPlusNormal1"/>
              <w:ind w:left="0" w:right="-57" w:firstLine="0"/>
              <w:jc w:val="both"/>
              <w:rPr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100% х количество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Новосибирской области, по окончании срока действия социального контракта/численность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Расчеты выполняются на основании: данных (заявок и отчетов) ЦСПН; данных программно-информационного комплекса Минтруда России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организации социальных выплат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color w:val="000000"/>
                <w:shd w:val="clear" w:fill="auto"/>
              </w:rPr>
              <w:t xml:space="preserve"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color w:val="000000"/>
                <w:shd w:val="clear" w:fill="auto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месячная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государственной программой Российской Федерации «Социальная поддержка граждан» (декомпозирован на уровень Новосибирской области).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100% х количество граждан, получивших социальные услуги в учреждениях социального обслуживания населения/общее число граждан, обратившихся за получением социальных услуг в учреждения социального обслуживания населения.</w:t>
            </w:r>
          </w:p>
          <w:p>
            <w:pPr>
              <w:pStyle w:val="Normal"/>
              <w:spacing w:before="0" w:after="0" w:line="240" w:lineRule="auto"/>
            </w:pPr>
            <w:r/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Достижение значений показателя осуществляется, в том числе за счет мер, реализуемых в рамках следующих структурных элементов: КПМ «Обеспечение функционирования системы в сфере социального обслуживания населения», КПМ «Семья и дети», КПМ «Доступная среда», КПМ «Адресная поддержка отдельных категорий граждан», ведомственный проект «Строительство и реконструкция объектов государственных учреждений Новосибирской области, подведомственных министерству труда и социального развития Новосибирской области»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Расчеты выполняются на основании данных отчетности КЦСОН и подведомственных учреждений МТиСР НСО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color w:val="000000"/>
                <w:shd w:val="clear" w:fill="auto"/>
              </w:rPr>
              <w:t xml:space="preserve"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color w:val="000000"/>
                <w:shd w:val="clear" w:fill="auto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месячная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Плановые значения: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устанавливаются в соответствии с соглашением от 14.12.2022 № 2022-00728 «О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«Доступная среда» (декомпозирован на уровень Новосибирской области).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shd w:val="clear" w:fill="auto"/>
              </w:rPr>
              <w:t xml:space="preserve">(Методика расчета утверждена приказом Минтруда России от 31.01.2025 № 41 «Об утверждении методик расчета показателей государственной программы Российской Федерации «Доступная среда» и ее структурных элементов»).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Д</w:t>
            </w:r>
            <w:r>
              <w:rPr>
                <w:shd w:val="clear" w:fill="auto"/>
                <w:vertAlign w:val="subscript"/>
              </w:rPr>
              <w:t xml:space="preserve">до =</w:t>
            </w:r>
            <w:r>
              <w:rPr>
                <w:shd w:val="clear" w:fill="auto"/>
              </w:rPr>
              <w:t xml:space="preserve"> (К</w:t>
            </w:r>
            <w:r>
              <w:rPr>
                <w:shd w:val="clear" w:fill="auto"/>
                <w:vertAlign w:val="subscript"/>
              </w:rPr>
              <w:t xml:space="preserve">о</w:t>
            </w:r>
            <w:r>
              <w:rPr>
                <w:shd w:val="clear" w:fill="auto"/>
              </w:rPr>
              <w:t xml:space="preserve"> + К</w:t>
            </w:r>
            <w:r>
              <w:rPr>
                <w:shd w:val="clear" w:fill="auto"/>
                <w:vertAlign w:val="subscript"/>
              </w:rPr>
              <w:t xml:space="preserve">оо</w:t>
            </w:r>
            <w:r>
              <w:rPr>
                <w:shd w:val="clear" w:fill="auto"/>
              </w:rPr>
              <w:t xml:space="preserve">)/Р х 100%, где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Д</w:t>
            </w:r>
            <w:r>
              <w:rPr>
                <w:shd w:val="clear" w:fill="auto"/>
                <w:vertAlign w:val="subscript"/>
              </w:rPr>
              <w:t xml:space="preserve">до  </w:t>
            </w:r>
            <w:r>
              <w:rPr>
                <w:shd w:val="clear" w:fill="auto"/>
              </w:rPr>
              <w:t xml:space="preserve">–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К</w:t>
            </w:r>
            <w:r>
              <w:rPr>
                <w:shd w:val="clear" w:fill="auto"/>
                <w:vertAlign w:val="subscript"/>
              </w:rPr>
              <w:t xml:space="preserve">оо</w:t>
            </w:r>
            <w:r>
              <w:rPr>
                <w:shd w:val="clear" w:fill="auto"/>
              </w:rPr>
              <w:t xml:space="preserve"> – количество оборудованных приоритетных объектов социальной, транспортной,  инженерной инфраструктуры в отчетном году;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К</w:t>
            </w:r>
            <w:r>
              <w:rPr>
                <w:shd w:val="clear" w:fill="auto"/>
                <w:vertAlign w:val="subscript"/>
              </w:rPr>
              <w:t xml:space="preserve">о </w:t>
            </w:r>
            <w:r>
              <w:rPr>
                <w:shd w:val="clear" w:fill="auto"/>
              </w:rPr>
              <w:t xml:space="preserve"> – количество доступных для инвалидов и других маломобильных групп населения приоритетных объектов социальной, транспортной,  инженерной инфраструктуры на начало отчетного периода;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Р – общее количество приоритетных объектов социальной, транспортной, инженерной инфраструктуры для инвалидов и других маломобильных групп населения на конец отчетного периода.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Достижение значений показателя осуществляется, в том числе за счет мер, реализуемых в рамках структурного элемента: КПМ «Доступная среда».</w:t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мероприятия (результата): 000056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Расчеты выполняются на основании отчетности областных исполнительных органов Новосибирской области в сферах социальной защиты, занятости, здравоохранения, культуры, физической культуры и спорта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820"/>
        </w:trPr>
        <w:tc>
          <w:tcPr>
            <w:tcW w:w="14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120" w:after="0" w:line="240" w:lineRule="auto"/>
              <w:ind w:left="0" w:right="-57" w:firstLine="0"/>
              <w:jc w:val="center"/>
            </w:pPr>
            <w:r>
              <w:rPr>
                <w:b/>
                <w:shd w:val="clear" w:fill="auto"/>
              </w:rPr>
              <w:t xml:space="preserve">Показатели ведомственного проекта «Строительство и реконструкция объектов государственных учреждений Новосибирской области, подведомственных министерству труда и социального развития Новосибирской области»</w:t>
            </w:r>
          </w:p>
        </w:tc>
      </w:tr>
      <w:tr>
        <w:trPr>
          <w:trHeight w:val="1408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jc w:val="center"/>
            </w:pPr>
            <w:r>
              <w:rPr>
                <w:shd w:val="clear" w:fill="auto"/>
              </w:rPr>
              <w:t xml:space="preserve"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Количество объектов государственных учреждений Новосибирской области, подведомственных МТиСР НСО, в которых завершены работы по строительству и реконструкции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месячная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Плановое значение: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на основании решения МТиСР НСО с учетом потребности в проведении работ по строительству и реконструкции объектов государственных учреждений Новосибирской области, подведомственных МТиСР НСО, и в соответствии запланированным объемом финансирования.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определяется как количество объектов государственных учреждений Новосибирской области подведомственных МТиСР реконструируемых и введенных в эксплуатацию в отчетном периоде в рамках реализации мероприятия (результата): 000211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Информация предоставляется МС НСО и МТиСР НСО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семейной политики и защиты прав детей;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МС НСО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760"/>
        </w:trPr>
        <w:tc>
          <w:tcPr>
            <w:tcW w:w="14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120" w:after="0" w:line="240" w:lineRule="auto"/>
              <w:ind w:left="0" w:right="-57" w:firstLine="0"/>
              <w:jc w:val="center"/>
            </w:pPr>
            <w:r>
              <w:rPr>
                <w:b/>
                <w:shd w:val="clear" w:fill="auto"/>
              </w:rPr>
              <w:t xml:space="preserve">Показатели комплекса процессных мероприятий «Обеспечение функционирования системы в сфере социальной поддержки населения»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jc w:val="center"/>
            </w:pPr>
            <w:r>
              <w:rPr>
                <w:shd w:val="clear" w:fill="auto"/>
              </w:rPr>
              <w:t xml:space="preserve"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основании анализа фактических значений показателя за 2022-2024 годы.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количество некоммерческих организаций (за исключением государственных и муниципальных организаций), оказывающих социальные услуги (факт за отчетный период)/количество всех организаций (коммерческих, государственных и муниципальных), оказывающих социальные услуги (факт за отчетный период).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cs="Times New Roman"/>
                <w:sz w:val="24"/>
                <w:szCs w:val="24"/>
                <w:shd w:val="clear" w:fill="auto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мероприятий (результатов): 000043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000051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rFonts w:cs="Times New Roman"/>
                <w:sz w:val="24"/>
                <w:szCs w:val="24"/>
                <w:shd w:val="clear" w:fill="auto"/>
                <w:vertAlign w:val="superscript"/>
              </w:rPr>
            </w:pPr>
            <w:r>
              <w:rPr>
                <w:rFonts w:cs="Times New Roman"/>
                <w:sz w:val="24"/>
                <w:szCs w:val="24"/>
                <w:shd w:val="clear" w:fill="auto"/>
                <w:vertAlign w:val="superscript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Количество некоммерческих организаций (за исключением государственных и муниципальных организаций), оказывающих социальные услуги, определяется на основании отчетных данных МТиСР НСО о количестве таких организаций, с которыми МТиСР НСО заключены соглашения (договоры) на оказание социальных услуг в отчетном периоде, либо, которым МТиСР НСО выплачена компенсация за предоставление социальных услуг в соответствии с постановлением Правительства Новосибирской области от 09.02.2015 № 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(заказа)», Порядком определения объема и предоставления субсидий некоммерческим организациям, не являющимся государственными (муниципальными) учреждениями в рамках реализации государственной программы Новосибирской области «Социальная поддержка в Новосибирской области», утвержденным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 (далее – постановление № 462-п).</w:t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Количество организаций, оказывающих социальные услуги в Новосибирской области определяется на основании отчетных данных МТиСР НСО об общем количестве государственных и муниципальных организаций социального обслуживания, выполняющих государственное (муниципальное) задание, и иных организаций, оказывающих социальные услуги в рамках государственной программы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комплексного анализа и социального проектирования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jc w:val="center"/>
            </w:pPr>
            <w:r>
              <w:rPr>
                <w:shd w:val="clear" w:fill="auto"/>
              </w:rPr>
              <w:t xml:space="preserve"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Соотношение средней заработной платы социальных работников и средней заработной платы в Новосибирской области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на основании указа Президента Российской Федерации от 07.05.2012 г. № 597 «О мероприятиях по реализации государственной социальной политики»,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100% х СЗПсоц/СЗПнсо, где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СЗПсоц – средняя заработная плата социальных работников, включая социальных работников медицинских организаций;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СЗПнсо – средняя заработная плата в Новосибирской области (в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Российской Федерации от 11.07.2015  № 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деятельности»).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Normal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мероприятий (результатов): 000023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000044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000053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  <w:shd w:val="clear" w:fill="auto"/>
                <w:vertAlign w:val="baseline"/>
              </w:rPr>
              <w:t xml:space="preserve">, 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  <w:shd w:val="clear" w:fill="auto"/>
                <w:vertAlign w:val="baseline"/>
              </w:rPr>
              <w:t xml:space="preserve">001196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shd w:val="clear" w:fill="auto"/>
              </w:rPr>
              <w:t xml:space="preserve">Расчеты выполняются на основании данных ведомственного мониторинга (о средней заработной плате социальных работников), данных Территориального органа Федеральной службы государственной статистики по Новосибирской области, Росстата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Планово-финансовое управление</w:t>
            </w:r>
          </w:p>
        </w:tc>
      </w:tr>
      <w:tr>
        <w:trPr>
          <w:trHeight w:val="83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color w:val="000000"/>
                <w:shd w:val="clear" w:fill="auto"/>
              </w:rPr>
              <w:t xml:space="preserve"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color w:val="000000"/>
                <w:shd w:val="clear" w:fill="auto"/>
              </w:rPr>
              <w:t xml:space="preserve">Обеспечение в полном объеме реализации функций, возложенных на МТиСР НСО и подведомственные учреждения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на основании анализа фактических значений показателя за 2022-2024 годы.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количество подведомственных МТиСР НСО государственных автономных и бюджетных учреждений, выполнивших государственное задание/количество подведомственных государственных автономных и бюджетных учреждений МТиСР НСО, которым установлено государственное задание.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Расчет показателя производится по мероприятию (результату) 000023* (кроме государственных казенных учреждений подведомственных МТиСР НСО).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мероприятий (результатов):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000023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000046*, 000048*, 000050*, 000052*, 001038*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Расчеты выполняются на основании внутренних сведений, собираемых и формируемых МТиСР НСО.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комплексного анализа и социального проектирования</w:t>
            </w:r>
          </w:p>
        </w:tc>
      </w:tr>
      <w:tr>
        <w:trPr>
          <w:trHeight w:val="480"/>
        </w:trPr>
        <w:tc>
          <w:tcPr>
            <w:tcW w:w="14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120" w:after="0" w:line="240" w:lineRule="auto"/>
              <w:ind w:left="0" w:right="-57" w:firstLine="0"/>
              <w:jc w:val="center"/>
            </w:pPr>
            <w:r>
              <w:rPr>
                <w:b/>
                <w:shd w:val="clear" w:fill="auto"/>
              </w:rPr>
              <w:t xml:space="preserve">Показатели регионального проекта «Многодетная семья» (Новосибирская область)»</w:t>
            </w:r>
          </w:p>
        </w:tc>
      </w:tr>
      <w:tr>
        <w:trPr>
          <w:trHeight w:val="1408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jc w:val="center"/>
            </w:pPr>
            <w:r>
              <w:rPr>
                <w:shd w:val="clear" w:fill="auto"/>
              </w:rPr>
              <w:t xml:space="preserve">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Доля граждан, охваченных государственной социальной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помощью на основании социального контракта, в общей</w:t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численности малоимущих граждан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месячная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паспортом регионального проекта «Многодетная семья» (Новосибирская область)».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100% х количество малоимущих граждан, охваченных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государственной социальной помощью на основании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социального контракта /численность малоимущих граждан в Новосибирской области.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мероприятия (результата): 15*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Расчеты выполняются на основании внутренних сведений, собираемых и формируемых МТиСР государственной информационной системой «Территориальная информационная система «Социальный портрет гражданина и Типизированное хранилище данных Новосибирской области». Общая численность малоимущих граждан определяется на основании данных Территориального органа Федеральной службы государственной статистики по Новосибирской области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организации социальных выплат</w:t>
            </w:r>
          </w:p>
        </w:tc>
      </w:tr>
      <w:tr>
        <w:trPr>
          <w:trHeight w:val="282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jc w:val="center"/>
            </w:pPr>
            <w:r>
              <w:rPr>
                <w:shd w:val="clear" w:fill="auto"/>
              </w:rPr>
              <w:t xml:space="preserve">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Суммарный коэффициент рождаемости третьих и последующих детей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месячная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устанавливаются в соответствии с паспортом регионального проекта «Многодетная семья» (Новосибирская область)».</w:t>
            </w:r>
          </w:p>
          <w:p>
            <w:pPr>
              <w:pStyle w:val="Normal"/>
              <w:spacing w:before="0" w:after="0" w:line="240" w:lineRule="auto"/>
              <w:rPr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futurismarkdown-paragraph"/>
              <w:shd w:val="clear" w:color="auto" w:fill="ffffff"/>
              <w:spacing w:before="0" w:after="0"/>
              <w:rPr>
                <w:bCs/>
                <w:shd w:val="clear" w:fill="auto"/>
              </w:rPr>
            </w:pPr>
            <w:r>
              <w:rPr>
                <w:shd w:val="clear" w:fill="auto"/>
              </w:rPr>
              <w:t xml:space="preserve">исчисляется как среднее количество детей третьей и последующей очередности рождения, которые могут родиться у одной женщины на протяжении всего репродуктивного периода (условно, с 15 до 49 лет).</w:t>
            </w:r>
          </w:p>
          <w:p>
            <w:pPr>
              <w:pStyle w:val="futurismarkdown-paragraph"/>
              <w:shd w:val="clear" w:color="auto" w:fill="ffffff"/>
              <w:spacing w:before="0" w:after="0"/>
              <w:rPr>
                <w:shd w:val="clear" w:fill="auto"/>
              </w:rPr>
            </w:pPr>
            <w:r>
              <w:rPr>
                <w:bCs/>
                <w:shd w:val="clear" w:fill="auto"/>
              </w:rPr>
              <w:t xml:space="preserve">(Методика расчёта</w:t>
            </w:r>
            <w:r>
              <w:rPr>
                <w:b/>
                <w:bCs/>
                <w:shd w:val="clear" w:fill="auto"/>
              </w:rPr>
              <w:t xml:space="preserve"> </w:t>
            </w:r>
            <w:r>
              <w:rPr>
                <w:shd w:val="clear" w:fill="auto"/>
              </w:rPr>
              <w:t xml:space="preserve">утверждена приказом Минтруда России от 12.12.2024 № 696 «Об утверждении методики расчета показателя «Суммарный коэффициент рождаемости третьих и последующих детей» национального проекта «Семья»).</w:t>
            </w:r>
          </w:p>
          <w:p>
            <w:pPr>
              <w:pStyle w:val="futurismarkdown-paragraph"/>
              <w:shd w:val="clear" w:color="auto" w:fill="ffffff"/>
              <w:spacing w:before="0" w:after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мероприятия (результата): 01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shd w:val="clear" w:fill="auto"/>
              </w:rPr>
              <w:t xml:space="preserve">Федеральная служба государственной статистики, Управление статистики населения и здравоохранения: единая межведомственная информационно-статистическая система (ЕМИСС)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семейной политики и защиты прав детей</w:t>
            </w:r>
          </w:p>
        </w:tc>
      </w:tr>
      <w:tr>
        <w:trPr>
          <w:trHeight w:val="551"/>
        </w:trPr>
        <w:tc>
          <w:tcPr>
            <w:tcW w:w="14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120" w:after="0" w:line="240" w:lineRule="auto"/>
              <w:ind w:left="0" w:right="-57" w:firstLine="0"/>
              <w:jc w:val="center"/>
            </w:pPr>
            <w:r>
              <w:rPr>
                <w:b/>
                <w:shd w:val="clear" w:fill="auto"/>
              </w:rPr>
              <w:t xml:space="preserve">Показатели комплекса процессных мероприятий «Семья и дети»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семей с детьми, имеющих право на меры социальной поддержки, обеспеченных выплатами, из числа обратившихся за предоставлением мер социальной поддержки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мерами, установленными законодательством Новосибирской области.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100% х количество семей с детьми, получающих меры социальной поддержки (компенсацию, пособие, субсидию)/количество семей с детьми, имеющих право на меры социальной поддержки, из числа обратившихся.</w:t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мероприятий (результатов): 000115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000119-000121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000129-000131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000453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001026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001080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Расчеты выполняются на основании внутренних сведений, собираемых и формируемых МТиСР НСО</w:t>
            </w:r>
          </w:p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</w:pPr>
            <w:r/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Управление организации социальных выплат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семей с детьми, получивших социальные услуги в государственных, муниципальных и иных организациях, в общем числе, обратившихся за получением социальных услуг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:</w:t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на основании анализа фактических значений показателя за 2022-2024 годы и в соответствии с запланированным объемом финансирования.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100% х количество семей с детьми, получающих социальные услуги в государственных, муниципальных и иных организациях/общее число, обратившихся за получением социальных услуг.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мероприятий (результатов): 000170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000175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001003-001006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001011-001015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001035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001037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  <w:rPr>
                <w:rFonts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Расчеты выполняются на основании внутренних сведений, собираемых и формируемых МТиСР НСО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rFonts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cs="Times New Roman"/>
                <w:b/>
                <w:sz w:val="24"/>
                <w:szCs w:val="24"/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Управление семейной политики и защиты прав детей;</w:t>
            </w:r>
          </w:p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управление комплексного анализа и социального проектирования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детей-сирот и детей, оставшихся без попечения родителей, устроенных в семьи, в общей численности детей этой категории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квартальная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потребностью муниципальных образований и городских округов Новосибирской области и запланированным объемом финансирования.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100% х Ч/Д, где: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Ч – численность детей-сирот и детей, оставшихся без попечения родителей, устроенных в семьи;</w:t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 – общая численность детей-сирот и детей, оставшихся без попечения родителей, состоящих на учете в органах опеки и попечительства Новосибирской области, на конец отчетного периода.</w:t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tabs>
                <w:tab w:val="clear" w:pos="708"/>
                <w:tab w:val="left" w:pos="317" w:leader="none"/>
              </w:tabs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мероприятий (результатов): 000164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000173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000174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Расчеты выполняются на основании данных отчетности органов опеки и попечительства Новосибирской области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Управление семейной политики и защиты прав детей</w:t>
            </w:r>
          </w:p>
        </w:tc>
      </w:tr>
      <w:tr>
        <w:trPr>
          <w:trHeight w:val="41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обеспеченных жилыми помещениями, от общего числа лиц данной категории, нуждающихся в жилых помещениях, право на обеспечение жилыми помещениями у которых уже возникло и не реализовано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Плановые значения: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shd w:val="clear" w:fill="auto"/>
              </w:rPr>
              <w:t xml:space="preserve">устанавливаются на основании запланированного объема финансирования и расчета субвенций для осуществления отдельных государственных полномочий по предоставлению гражданам жилых помещений, в том числе осуществлению строительства жилых помещений, а также по предоставлению социальной выплаты на приобретение жилого помещения, выплаты на приобретение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жилого помещения или погашение ипотеки согласно методике, утвержденной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(далее – Закон № 411-ОЗ).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100% х Ч/Н, где: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Ч – численность лиц из числа детей-сирот и детей, оставшихся без попечения родителей, обеспеченных жилыми помещениями на конец отчетного периода (на 1 января года, следующего за отчетным);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Н – суммарная численность нуждающихся в жилых помещениях лиц данной категории, право на обеспечение жилыми помещениями у которых уже возникло и не реализовано, на начало отчетного периода (на 1 января отчетного года).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мероприятий (результатов): 000163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000177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Расчеты выполняются на основании данных, полученных при реализации мероприятия государственной программы, и отчетности органов опеки и попечительства муниципальных образований Новосибирской области и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формируемых МТиСР НСО на основании постановления Правительства Новосибирской области от 24.12.2019 № 503-п «О порядке и сроке направления органами местного самоуправления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  23 лет, которые подлежат обеспечению жилыми помещениями, в уполномоченный орган»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семейной политики и защиты прав детей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месячная</w:t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widowControl w:val="off"/>
              <w:spacing w:before="0" w:after="20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widowControl w:val="off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установлены в соответствии с соглашением от 19.12.2022 № 2022-01105 «О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(декомпозирован на уровень Новосибирской области).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Фактические значения: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Рассчитывается как общая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(нарастающим итогом)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за счет средств федерального бюджета, исходя из средней рыночной стоимости 1 квадратного метра общей площади жилого помещения и нормы предоставления площади жилого помещения согласно методике, утвержденной Законом № 411-ОЗ).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мероприятия (результата): 000625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Подсчет производится по количеству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 за счет средств федерального бюджета в целях обеспечения контроля за ходом достижения показателя «Количество семей отдельных категорий граждан Российской Федерации, обеспеченных жильем», установленного  соглашением от 19.12.2022 № 2022-01105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МС НСО;</w:t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семейной политики и защиты прав детей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оздоровленных детей, находящихся в трудной жизненной ситуации, от численности детей в возрасте 7-17 лет, проживающих в 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квартальная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потребностью, заявляемой муниципальными образованиями Новосибирской области (в соответствии с Порядком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«Социальная поддержка в Новосибирской области», утвержденным постановлением № 462-п), ЦСПН на основании принятых заявлений от граждан (в соответствии с постановлением Правительства Новосибирской области от 28.03.2017 № 123-п «Об организации отдыха, оздоровления и занятости детей на территории Новосибирской области»).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100% х численность детей в возрасте 7-17 лет, проживающих в Новосибирской области, находящихся в трудной жизненной ситуации, охваченных всеми видами отдыха и оздоровления, с начала отчетного года/общая численность детей в возрасте 7-17 лет, проживающих в Новосибирской области, находящихся в трудной жизненной ситуации, подлежащих оздоровлению.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мероприятий (результатов): 000110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000112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000113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001002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Определяется на основании данных, собираемых и формируемых МТиСР НСО в рамках ведомственного мониторинга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семейной политики и защиты прав детей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981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организаций отдыха детей и их оздоровления, в которых проведены работы по реконструкции, капитальному и текущему ремонту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Плановые значения: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shd w:val="clear" w:fill="auto"/>
              </w:rPr>
              <w:t xml:space="preserve">устанавливаются в соответствии с заявленной потребностью администраций муниципальных образований Новосибирской области, государственных учреждений Новосибирской области, подведомственных МТиСР НСО (организаций отдыха детей и их оздоровления) и в соответствии с запланированным объемом финансирования.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100% х количество организаций отдыха детей и их оздоровления, в которых проведены работы по реконструкции капитальному и текущему ремонту в текущем году/общее количество организаций отдыха детей и их оздоровления.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мероприятий (результатов): 000172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000176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000648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Количество организаций отдыха детей и их оздоровления определяется в соответствии с реестром организаций отдыха и оздоровления детей Новосибирской области, кроме разделов «Тематические лагеря», «Организации за пределами НСО» и «Лагеря с дневным пребыванием» (https://mtsr.nso.ru/page/5680)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семейной политики и защиты прав детей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18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квартальная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потребностью заявляемой муниципальными образованиями Новосибирской области (в соответствии с Порядком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«Социальная поддержка в Новосибирской области», утвержденным постановлением № 462-п), ЦСПН на основании принятых заявлений от граждан и организаторами областных профильных смен (в соответствии с постановлением Правительства Новосибирской области от 28.03.2017 № 123-п «Об организации отдыха, оздоровления и занятости детей на территории Новосибирской области»).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100% х численность детей школьного возраста, охваченных всеми видами отдыха и оздоровления, с начала отчетного года/общая численность детей школьного возраста Новосибирской области.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мероприятий (результатов): 000110-000113</w:t>
            </w:r>
            <w:r>
              <w:rPr>
                <w:shd w:val="clear" w:fill="auto"/>
                <w:vertAlign w:val="superscript"/>
              </w:rPr>
              <w:t xml:space="preserve">*</w:t>
            </w:r>
            <w:r>
              <w:rPr>
                <w:shd w:val="clear" w:fill="auto"/>
              </w:rPr>
              <w:t xml:space="preserve">, 001002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Численность детей, подлежащих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shd w:val="clear" w:fill="auto"/>
              </w:rPr>
              <w:t xml:space="preserve">оздоровлению, и численность детей школьного возраста Новосибирской области в текущем году определяется на основании данных, собираемых и формируемых МТиСР НСО в рамках ведомственного мониторинга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b/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Управление семейной политики и защиты прав детей</w:t>
            </w:r>
          </w:p>
        </w:tc>
      </w:tr>
      <w:tr>
        <w:trPr>
          <w:trHeight w:val="540"/>
        </w:trPr>
        <w:tc>
          <w:tcPr>
            <w:tcW w:w="14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120" w:after="0" w:line="240" w:lineRule="auto"/>
              <w:ind w:left="0" w:right="-57" w:firstLine="0"/>
              <w:jc w:val="center"/>
            </w:pPr>
            <w:r>
              <w:rPr>
                <w:b/>
                <w:shd w:val="clear" w:fill="auto"/>
              </w:rPr>
              <w:t xml:space="preserve">Показатели регионального проекта «Старшее поколение» (Новосибирская область)»</w:t>
            </w:r>
          </w:p>
        </w:tc>
      </w:tr>
      <w:tr>
        <w:trPr>
          <w:trHeight w:val="425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jc w:val="center"/>
            </w:pPr>
            <w:r>
              <w:rPr>
                <w:shd w:val="clear" w:fill="auto"/>
              </w:rPr>
              <w:t xml:space="preserve">19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Доля граждан старшего поколения, вовлеченных в региональные программы «Активное долголетие»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месячная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накопительный итог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паспортом регионального проекта «Старшее поколение» (Новосибирская область)».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bscript"/>
              </w:rPr>
              <w:t xml:space="preserve">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=Ч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bscript"/>
              </w:rPr>
              <w:t xml:space="preserve">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/Ч*100%, где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bscript"/>
              </w:rPr>
              <w:t xml:space="preserve">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=(Ч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bscript"/>
              </w:rPr>
              <w:t xml:space="preserve">спорт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+Ч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bscript"/>
              </w:rPr>
              <w:t xml:space="preserve">культура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+Ч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bscript"/>
              </w:rPr>
              <w:t xml:space="preserve">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+Ч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bscript"/>
              </w:rPr>
              <w:t xml:space="preserve">добровольчество),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где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bscript"/>
              </w:rPr>
              <w:t xml:space="preserve">ад —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  <w:shd w:val="clear" w:fill="auto"/>
                <w:vertAlign w:val="baseline"/>
              </w:rPr>
              <w:t xml:space="preserve"> численность граждан старшего поколения, 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4"/>
                <w:szCs w:val="24"/>
                <w:shd w:val="clear" w:fill="auto"/>
                <w:vertAlign w:val="baseline"/>
              </w:rPr>
              <w:t xml:space="preserve">вовлеченных в региональную программу «Активное долголетие»;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vertAlign w:val="subscript"/>
                <w:lang w:bidi="ru-RU"/>
              </w:rPr>
              <w:t xml:space="preserve">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 </w:t>
            </w:r>
            <w:r>
              <w:rPr>
                <w:sz w:val="24"/>
                <w:szCs w:val="24"/>
                <w:shd w:val="clear" w:fill="auto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 численность граждан старшего поколения, которые приняли участие в занятиях физической культурой и спортом, человек;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vertAlign w:val="subscript"/>
                <w:lang w:bidi="ru-RU"/>
              </w:rPr>
              <w:t xml:space="preserve">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 </w:t>
            </w:r>
            <w:r>
              <w:rPr>
                <w:sz w:val="24"/>
                <w:szCs w:val="24"/>
                <w:shd w:val="clear" w:fill="auto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 численность граждан старшего поколения, которые приняли участие в культурно-досуговых мероприятиях и творческих проектах, человек;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vertAlign w:val="subscript"/>
                <w:lang w:bidi="ru-RU"/>
              </w:rPr>
              <w:t xml:space="preserve">образование </w:t>
            </w:r>
            <w:r>
              <w:rPr>
                <w:sz w:val="24"/>
                <w:szCs w:val="24"/>
                <w:shd w:val="clear" w:fill="auto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 численность граждан старшего поколения, которые приняли участие в образовательных проектах, человек;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vertAlign w:val="subscript"/>
                <w:lang w:bidi="ru-RU"/>
              </w:rPr>
              <w:t xml:space="preserve">добровольчество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 </w:t>
            </w:r>
            <w:r>
              <w:rPr>
                <w:sz w:val="24"/>
                <w:szCs w:val="24"/>
                <w:shd w:val="clear" w:fill="auto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 численность граждан старшего поколения, которые приняли участие в волонтерском движении, человек.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Ч </w:t>
            </w:r>
            <w:r>
              <w:rPr>
                <w:sz w:val="24"/>
                <w:szCs w:val="24"/>
                <w:shd w:val="clear" w:fill="auto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общая численность граждан старше трудоспособного возраста в целом по Новосибирской области.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(Методика расчета утверждена приказом Минтруда России от 22.11.2024 № 632 «Об утверждении методики расчета показателя «Доля граждан старшего поколения, вовлеченных в региональные программы «Активное долголетие» федерального проекта «Старшее поколение» национального проекта «Семья»)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мероприятия (результата): 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Расчеты выполняются на основании отчетности исполнительных органов Новосибирской области в сферах культуры, физической культуры и спорта, образования, волонтерской деятельности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425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jc w:val="center"/>
            </w:pPr>
            <w:r>
              <w:rPr>
                <w:shd w:val="clear" w:fill="auto"/>
              </w:rPr>
              <w:t xml:space="preserve">20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Доля пожилых граждан и инвалидов, получающих долговременный уход, от общего числа нуждающихся в таком уходе граждан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месячная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накопительный итог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Плановые значения: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устанавливаются в соответствии с паспортом регионального проекта «Старшее поколение» (Новосибирская область)».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51890" cy="424180"/>
                      <wp:effectExtent l="0" t="0" r="0" b="0"/>
                      <wp:docPr id="2" name="Изображение2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Изображение2" descr="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1890" cy="4241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0.70pt;height:33.4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где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D – доля пожилых граждан и инвалидов, получающих долговременный уход, от общего числа нуждающихся в таком уходе граждан, процент;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A – общая численность граждан старше трудоспособного возраста и инвалидов, охваченных системой долговременного ухода (ежемесячно, ежегодно), человек;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C – общая численность граждан старше трудоспособного возраста и инвалидов, нуждающихся в долговременном уходе (лица старше трудоспособного возраста и инвалиды,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получающие социальные услуги) (ежемесячно, ежегодно), человек.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(Методика расчета утверждена приказом Минтруда России от 29.11.2024 № 643 «Об утверждении методики расчета показателя «Доля пожилых граждан и инвалидов, получающих долговременный уход, от общего числа нуждающихся в таком уходе граждан» федерального проекта «Старшее поколение» национального проекта «Семья»).</w:t>
            </w:r>
          </w:p>
          <w:p>
            <w:pPr>
              <w:pStyle w:val="Normal"/>
              <w:widowControl w:val="o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lang w:bidi="ru-RU"/>
              </w:rPr>
              <w:t xml:space="preserve">На достижение показателя оказывает влияние реализация мероприятия (результата):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  <w:vertAlign w:val="superscript"/>
                <w:lang w:bidi="ru-RU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Расчеты выполняются на основании данных отчетности КЦСОН, подведомственных учреждений МТиСР НСО и информации содержащейся в ведомственной информационной системе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556"/>
        </w:trPr>
        <w:tc>
          <w:tcPr>
            <w:tcW w:w="14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120" w:after="0" w:line="240" w:lineRule="auto"/>
              <w:ind w:left="0" w:right="-57" w:firstLine="0"/>
              <w:jc w:val="center"/>
            </w:pPr>
            <w:r>
              <w:rPr>
                <w:b/>
                <w:shd w:val="clear" w:fill="auto"/>
              </w:rPr>
              <w:t xml:space="preserve">Показатели комплекса процессных мероприятий «Доступная среда»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21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Доля приоритетных объектов, доступных для инвалидов и других маломобильных групп населения, в общем количестве приоритетных объектов в сфере социальной защиты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Плановые значения: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shd w:val="clear" w:fill="auto"/>
              </w:rPr>
              <w:t xml:space="preserve">устанавливаются в соответствии с заявленной потребностью государственных учреждений Новосибирской области, подведомственных МТиСР НСО с учетом запланированного объема финансирования.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Д</w:t>
            </w:r>
            <w:r>
              <w:rPr>
                <w:shd w:val="clear" w:fill="auto"/>
                <w:vertAlign w:val="subscript"/>
              </w:rPr>
              <w:t xml:space="preserve">со</w:t>
            </w:r>
            <w:r>
              <w:rPr>
                <w:shd w:val="clear" w:fill="auto"/>
              </w:rPr>
              <w:t xml:space="preserve">= (К</w:t>
            </w:r>
            <w:r>
              <w:rPr>
                <w:shd w:val="clear" w:fill="auto"/>
                <w:vertAlign w:val="subscript"/>
              </w:rPr>
              <w:t xml:space="preserve">о</w:t>
            </w:r>
            <w:r>
              <w:rPr>
                <w:shd w:val="clear" w:fill="auto"/>
              </w:rPr>
              <w:t xml:space="preserve"> + К</w:t>
            </w:r>
            <w:r>
              <w:rPr>
                <w:shd w:val="clear" w:fill="auto"/>
                <w:vertAlign w:val="subscript"/>
              </w:rPr>
              <w:t xml:space="preserve">оо</w:t>
            </w:r>
            <w:r>
              <w:rPr>
                <w:shd w:val="clear" w:fill="auto"/>
              </w:rPr>
              <w:t xml:space="preserve">)/Р х 100%, где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Д</w:t>
            </w:r>
            <w:r>
              <w:rPr>
                <w:shd w:val="clear" w:fill="auto"/>
                <w:vertAlign w:val="subscript"/>
              </w:rPr>
              <w:t xml:space="preserve">со </w:t>
            </w:r>
            <w:r>
              <w:rPr>
                <w:shd w:val="clear" w:fill="auto"/>
              </w:rPr>
              <w:t xml:space="preserve">–</w:t>
            </w:r>
            <w:r>
              <w:rPr>
                <w:shd w:val="clear" w:fill="auto"/>
                <w:vertAlign w:val="subscript"/>
              </w:rPr>
              <w:t xml:space="preserve"> </w:t>
            </w:r>
            <w:r>
              <w:rPr>
                <w:shd w:val="clear" w:fill="auto"/>
              </w:rPr>
              <w:t xml:space="preserve"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зашиты;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К</w:t>
            </w:r>
            <w:r>
              <w:rPr>
                <w:shd w:val="clear" w:fill="auto"/>
                <w:vertAlign w:val="subscript"/>
              </w:rPr>
              <w:t xml:space="preserve">о</w:t>
            </w:r>
            <w:r>
              <w:rPr>
                <w:shd w:val="clear" w:fill="auto"/>
              </w:rPr>
              <w:t xml:space="preserve">  – количество приоритетных объектов в сфере социальной защиты доступных для инвалидов и других маломобильных групп населения на начало отчетного периода;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К</w:t>
            </w:r>
            <w:r>
              <w:rPr>
                <w:shd w:val="clear" w:fill="auto"/>
                <w:vertAlign w:val="subscript"/>
              </w:rPr>
              <w:t xml:space="preserve">оо</w:t>
            </w:r>
            <w:r>
              <w:rPr>
                <w:shd w:val="clear" w:fill="auto"/>
              </w:rPr>
              <w:t xml:space="preserve">  – количество оборудованных приоритетных объектов в сфере социальной защиты в отчетном году;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Р – общее количество приоритетных объектов в сфере социальной защиты на конец отчетного периода.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мероприятий (результатов): 000056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color w:val="ff0000"/>
                <w:shd w:val="clear" w:fill="auto"/>
              </w:rPr>
            </w:pPr>
            <w:r>
              <w:rPr>
                <w:shd w:val="clear" w:fill="auto"/>
              </w:rPr>
              <w:t xml:space="preserve">Расчеты выполняются на основании ведомственной информация МТиСР НСО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color w:val="ff0000"/>
                <w:shd w:val="clear" w:fill="auto"/>
              </w:rPr>
            </w:pPr>
            <w:r>
              <w:rPr>
                <w:b/>
                <w:color w:val="ff0000"/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22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Доля инвалидов, получивших услуги по комплексной реабилитации инвалидов, имеющих нарушения опорно-двигательного аппарата, в специализированных центрах, учреждениях, организациях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Плановое значение: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shd w:val="clear" w:fill="auto"/>
              </w:rPr>
              <w:t xml:space="preserve">устанавливается на основании анализа фактических значений показателя за 2023-2024 годы и в соответствии с запланированным объемом финансирования.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</w:t>
            </w:r>
            <w:r>
              <w:rPr>
                <w:shd w:val="clear" w:fill="auto"/>
              </w:rPr>
              <w:t xml:space="preserve">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Cs/>
                <w:iCs/>
                <w:shd w:val="clear" w:fill="auto"/>
              </w:rPr>
            </w:pPr>
            <w:r>
              <w:rPr>
                <w:shd w:val="clear" w:fill="auto"/>
              </w:rPr>
              <w:t xml:space="preserve">100% х общее количество инвалидов, получивших услуги по комплексной реабилитации в специализированных центрах, учреждениях, организациях в отчетном году /общее количество инвалидов, включенных в журнал учета заявителей, поставленных в очередь на оказание содействия в направлении на курс комплексной реабилитации в специализированный центр, на 31 декабря года, предшествующего отчетному году, и количество инвалидов, исключенных из журнала в отчетном году.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Cs/>
                <w:iCs/>
                <w:shd w:val="clear" w:fill="auto"/>
              </w:rPr>
            </w:pPr>
            <w:r>
              <w:rPr>
                <w:bCs/>
                <w:iCs/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мероприятие (результат):</w:t>
            </w:r>
            <w:r>
              <w:rPr>
                <w:bCs/>
                <w:iCs/>
                <w:shd w:val="clear" w:fill="auto"/>
              </w:rPr>
              <w:t xml:space="preserve"> </w:t>
            </w:r>
            <w:r>
              <w:rPr>
                <w:shd w:val="clear" w:fill="auto"/>
              </w:rPr>
              <w:t xml:space="preserve">000994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Реестр по проведенным реабилитационным мероприятиям, прилагаемый к контракту на оказание услуг для обеспечения нужд Новосибирской области, заключенному между МТиСР НСО.</w:t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Журнал учета заявителей, поставленных в очередь на оказание содействия в направлении на курс комплексной реабилитации в специализированный центр ведется в электронной форме в 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23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соглашением от 14.12.2022 № 2022-00728 «О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«Доступная среда» (декомпозирован на уровень Новосибирской области).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 = (С/Т) х 100%, где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 – доля детей-инвалидов, получивших мероприятия по реабилитации и/или абилитации, в общей численности детей-инвалидов, имеющих такие рекомендации в индивидуальных программах реабилитации и абилитации детей-инвалидов;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Т – общее количество детей-инвалидов, имеющих рекомендации по реабилитационным и/или абилитационным мероприятиям в индивидуальных программах реабилитации или абилитации детей-инвалидов;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С – численность детей-инвалидов, получивших заключения о выполнении их индивидуальных программ реабилитации и абилитации детей-инвалидов.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(Методика расчета утверждена приказом Минтруда России от 06.10.2022 № 626 «Об утверждении методики расчета показателей государственной программы Российской Федерации «Доступная среда» и ее структурных элементов»).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мероприятий (результатов): 000996*,000997,  001007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001008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001010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Расчеты выполняются на основании сведений, представляемых ФКУ «ГБ МСЭ по Новосибирской области» Минтруда России по форме федерального статистического наблюдения № 7-Д (собес) «Сведения о медико-социальной экспертизе лиц в возрасте 18 лет и старше», утвержденной приказом Росстата от 05.12.2019 № 742 «Об утверждении форм федерального статистического наблюдения с указаниями по их заполнению для организации Министерством труда и социальной защиты Российской Федерации федерального статистического наблюдения за деятельностью федеральных государственных организаций медико-социальной экспертизы»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57" w:right="-57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24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-57" w:right="-57"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годовая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в соответствии с соглашением от 14.12.2022 № 2022-00728 «О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«Доступная среда»</w:t>
            </w:r>
            <w:r>
              <w:rPr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(декомпозирован на уровень Новосибирской области).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 = (С/Т) х 100%, где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 – доля инвалидов, получивших мероприятия по реабилитации и/или абилитации, в общей численности инвалидов, имеющих такие рекомендации в индивидуальных программах реабилитации и абилитации инвалидов;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Т – общее количество инвалидов, имеющих рекомендации по реабилитационным и/или абилитационным мероприятиям в индивидуальных программах реабилитации или абилитации инвалидов;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С – количество инвалидов, получивших заключения о выполнении их индивидуальных программ реабилитации и абилитации инвалидов.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мероприятий (результатов): 000996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000997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001007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001008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001010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Расчеты выполняются на основании сведений, представляемых ФКУ «ГБ МСЭ по Новосибирской области» Минтруда России по форме федерального статистического наблюдения № 7-собес «Сведения о медико-социальной экспертизе лиц в возрасте 18 лет и старше», утвержденной приказом Росстата от 05.12.2019 № 742 «Об утверждении форм федерального статистического наблюдения с указаниями по их заполнению для организации Министерством труда и социальной защиты Российской Федерации федерального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статистического наблюдения за деятельностью федеральных государственных организаций медико-социальной экспертизы»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</w:tc>
      </w:tr>
      <w:tr>
        <w:trPr>
          <w:trHeight w:val="540"/>
        </w:trPr>
        <w:tc>
          <w:tcPr>
            <w:tcW w:w="14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120" w:after="0" w:line="240" w:lineRule="auto"/>
              <w:ind w:left="0" w:right="-57" w:firstLine="0"/>
              <w:jc w:val="center"/>
            </w:pPr>
            <w:r>
              <w:rPr>
                <w:b/>
                <w:shd w:val="clear" w:fill="auto"/>
              </w:rPr>
              <w:t xml:space="preserve">Показатели комплекса процессных мероприятий «Адресная поддержка отдельных категорий граждан»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25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Доля отдельных категорий граждан, имеющих право на меры социальной поддержки, обеспеченных выплатами, из числа обратившихся за предоставлением мер социальной поддержки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квартальная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Плановые значения: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shd w:val="clear" w:fill="auto"/>
              </w:rPr>
              <w:t xml:space="preserve">устанавливаются на основании анализа фактических значений показателя за предыдущий период.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100% х количество граждан, получающих меры социальной поддержки (компенсацию, пособие, субсидию) / количество граждан, имеющих право на меры социальной поддержки, из числа обратившихся.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  <w:p>
            <w:pPr>
              <w:pStyle w:val="Normal"/>
              <w:spacing w:before="0" w:after="0" w:line="240" w:lineRule="auto"/>
              <w:ind w:left="0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 достижение показателя оказывает влияние реализация мероприятий (результатов): 000062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000063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000065-000074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000076-000085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000087-000097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000101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000107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000773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001022-001024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, 001155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Расчеты выполняются на основании внутренних сведений, собираемых и формируемых МТиСР НСО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организации социальных выплат</w:t>
            </w:r>
          </w:p>
        </w:tc>
      </w:tr>
      <w:tr>
        <w:trPr>
          <w:trHeight w:val="33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  <w:jc w:val="center"/>
            </w:pPr>
            <w:r>
              <w:rPr>
                <w:shd w:val="clear" w:fill="auto"/>
              </w:rPr>
              <w:t xml:space="preserve">26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-57" w:right="-57" w:firstLine="0"/>
            </w:pPr>
            <w:r>
              <w:rPr>
                <w:shd w:val="clear" w:fill="auto"/>
              </w:rPr>
              <w:t xml:space="preserve">Доля граждан, получивших компенсацию оплаты взноса на капитальный ремонт общего имущества в многоквартирном доме, от общего числа граждан, имеющих право на получение такой компенсации в соответствии с федеральными законами и обратившимся в установленном порядке за ее получением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месячная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накопительный итог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Плановые значения</w:t>
            </w:r>
            <w:r>
              <w:rPr>
                <w:shd w:val="clear" w:fill="auto"/>
              </w:rPr>
              <w:t xml:space="preserve">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b/>
                <w:shd w:val="clear" w:fill="auto"/>
              </w:rPr>
            </w:pPr>
            <w:r>
              <w:rPr>
                <w:shd w:val="clear" w:fill="auto"/>
              </w:rPr>
              <w:t xml:space="preserve">установлены в соответствии с соглашением от 25.12.2023 № 069-09-2024-149 «Соглашение о предоставлении субсидии из федерального бюджета бюджету субъекта» (декомпозирован на уровень Новосибирской области).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b/>
                <w:shd w:val="clear" w:fill="auto"/>
              </w:rPr>
              <w:t xml:space="preserve">Фактическое значение</w:t>
            </w:r>
            <w:r>
              <w:rPr>
                <w:shd w:val="clear" w:fill="auto"/>
              </w:rPr>
              <w:t xml:space="preserve">: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100% х количество граждан, получающих меру социальной поддержки (компенсация оплаты взноса на капитальный ремонт общего имущества в многоквартирном доме) / количество граждан, имеющих право на данную меру, из числа обратившихся.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На достижение показателя оказывает влияние реализация мероприятия (результата): 000626</w:t>
            </w:r>
            <w:r>
              <w:rPr>
                <w:shd w:val="clear" w:fill="auto"/>
                <w:vertAlign w:val="superscript"/>
              </w:rPr>
              <w:t xml:space="preserve">*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Расчеты выполняются на основании внутренних сведений, собираемых и формируемых МТиСР НСО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Управление организации социальных выплат</w:t>
            </w:r>
          </w:p>
        </w:tc>
      </w:tr>
      <w:tr>
        <w:trPr>
          <w:trHeight w:val="3109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27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auto"/>
              </w:rPr>
              <w:t xml:space="preserve">Количество граждан пожилого возраста, вовлеченных в мероприятия по поддержанию их социальной активности и адаптации (ежегодно)</w:t>
            </w:r>
          </w:p>
          <w:p>
            <w:pPr>
              <w:pStyle w:val="22"/>
              <w:spacing w:before="0" w:after="0" w:line="240" w:lineRule="auto"/>
              <w:ind w:left="-57" w:right="-57" w:firstLine="0"/>
              <w:rPr>
                <w:rFonts w:cs="Times New Roman"/>
                <w:color w:val="000000"/>
                <w:sz w:val="24"/>
                <w:szCs w:val="24"/>
                <w:shd w:val="clear" w:fill="auto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fill="auto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годовая</w:t>
            </w:r>
          </w:p>
          <w:p>
            <w:pPr>
              <w:pStyle w:val="Normal"/>
              <w:spacing w:before="0" w:after="20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200"/>
              <w:ind w:left="-57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дискретный</w:t>
            </w:r>
          </w:p>
        </w:tc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Плановые значения: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устанавливаются на основании анализа фактических значений показателя за предыдущий период, а также с учетом мер социальной поддержки, запланированных к реализации в рамках КПМ «Адресная поддержка отдельных категорий граждан»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 xml:space="preserve">Фактическое значение:</w:t>
            </w:r>
          </w:p>
          <w:p>
            <w:pPr>
              <w:pStyle w:val="Normal"/>
              <w:spacing w:before="0" w:after="0" w:line="240" w:lineRule="auto"/>
              <w:ind w:left="0" w:right="-57" w:firstLine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определяется по итогам реализации мероприятий (результатов): 000106*, 000108*, 000109*, 001019*, 001021*, а также 000066* (в части  предоставления путевок неработающим ветеранам труда, ветеранам труда Новосибирской области, ветеранам войны на санаторно-курортное лечение в 2025 году)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</w:pPr>
            <w:r>
              <w:rPr>
                <w:shd w:val="clear" w:fill="auto"/>
              </w:rPr>
              <w:t xml:space="preserve">Расчеты выполняются на основании отчетных данных социально ориентированных некоммерческих организаций, по внутренним статистическим сведениям, собираемым и формируемым МТиСР НСО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социальных выплат;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  <w:t xml:space="preserve">управление организации социального обслуживания населения и реабилитации инвалидов</w:t>
            </w:r>
          </w:p>
          <w:p>
            <w:pPr>
              <w:pStyle w:val="22"/>
              <w:spacing w:before="0" w:after="0" w:line="240" w:lineRule="auto"/>
              <w:ind w:left="0" w:right="-57" w:firstLine="0"/>
              <w:rPr>
                <w:shd w:val="clear" w:fill="auto"/>
              </w:rPr>
            </w:pPr>
            <w:r>
              <w:rPr>
                <w:shd w:val="clear" w:fill="auto"/>
              </w:rPr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ConsPlusNormal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уникальный номер, присваиваемый мероприятию (результату) в ГИИС «Электронный бюджет».</w:t>
      </w:r>
    </w:p>
    <w:p>
      <w:pPr>
        <w:pStyle w:val="ConsPlusNormal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ConsPlusNormal1"/>
        <w:ind w:left="0" w:right="0" w:firstLine="426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Применяемые сокращения:</w:t>
      </w:r>
    </w:p>
    <w:p>
      <w:pPr>
        <w:pStyle w:val="ConsPlusNormal1"/>
        <w:ind w:left="0" w:right="0" w:firstLine="426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  <w:shd w:val="clear" w:fill="auto"/>
        </w:rPr>
      </w:r>
    </w:p>
    <w:p>
      <w:pPr>
        <w:pStyle w:val="ConsPlusNormal1"/>
        <w:ind w:left="0" w:right="0" w:firstLine="426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КПМ – комплекс процессных мероприятий;</w:t>
      </w:r>
    </w:p>
    <w:p>
      <w:pPr>
        <w:pStyle w:val="Normal"/>
        <w:spacing w:before="0" w:after="0" w:line="240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КЦСОН – комплексные центры социального обслуживания населения;</w:t>
      </w:r>
    </w:p>
    <w:p>
      <w:pPr>
        <w:pStyle w:val="Normal"/>
        <w:spacing w:before="0" w:after="0" w:line="240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МС НСО – министерство строительства Новосибирской области;</w:t>
      </w:r>
    </w:p>
    <w:p>
      <w:pPr>
        <w:pStyle w:val="Normal"/>
        <w:spacing w:before="0" w:after="0" w:line="240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МТиСР НСО – министерство труда и социального развития Новосибирской области;</w:t>
      </w:r>
    </w:p>
    <w:p>
      <w:pPr>
        <w:pStyle w:val="Normal"/>
        <w:spacing w:before="0" w:after="0" w:line="240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ЦСПН – центр социальной поддержки населения Новосибирской области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  <w:shd w:val="clear" w:fill="auto"/>
        </w:rPr>
      </w:r>
    </w:p>
    <w:p>
      <w:pPr>
        <w:pStyle w:val="Normal"/>
        <w:spacing w:before="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_________________________».</w:t>
      </w:r>
    </w:p>
    <w:sectPr>
      <w:headerReference w:type="default" r:id="rId9"/>
      <w:type w:val="nextPage"/>
      <w:pgSz w:w="16838" w:h="11906" w:orient="landscape"/>
      <w:pgMar w:top="1135" w:right="962" w:bottom="1133" w:left="567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panose1 w:val="020B0606030804020204"/>
  </w:font>
  <w:font w:name="DejaVu Sans">
    <w:panose1 w:val="020B0603030804020204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0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first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31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qFormat/>
    <w:pPr>
      <w:keepNext/>
      <w:spacing w:before="0"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Heading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</w:style>
  <w:style w:type="character" w:styleId="FooterChar">
    <w:name w:val="Footer Char"/>
    <w:uiPriority w:val="99"/>
    <w:qFormat/>
  </w:style>
  <w:style w:type="character" w:styleId="CaptionChar">
    <w:name w:val="Caption Char"/>
    <w:uiPriority w:val="99"/>
    <w:qFormat/>
  </w:style>
  <w:style w:type="character" w:styleId="InternetLink">
    <w:name w:val="Internet Link"/>
    <w:uiPriority w:val="99"/>
    <w:unhideWhenUsed/>
    <w:qFormat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5">
    <w:name w:val="Основной шрифт абзаца"/>
    <w:uiPriority w:val="1"/>
    <w:unhideWhenUsed/>
    <w:qFormat/>
  </w:style>
  <w:style w:type="character" w:styleId="Style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Style7">
    <w:name w:val="Гиперссылка"/>
    <w:uiPriority w:val="99"/>
    <w:qFormat/>
    <w:rPr>
      <w:rFonts w:cs="Times New Roman"/>
      <w:color w:val="0000ff"/>
      <w:u w:val="single"/>
    </w:rPr>
  </w:style>
  <w:style w:type="character" w:styleId="Style8">
    <w:name w:val="Верхний колонтитул Знак"/>
    <w:uiPriority w:val="99"/>
    <w:qFormat/>
    <w:rPr>
      <w:rFonts w:ascii="Times New Roman" w:hAnsi="Times New Roman" w:cs="Times New Roman"/>
      <w:sz w:val="20"/>
      <w:szCs w:val="20"/>
    </w:rPr>
  </w:style>
  <w:style w:type="character" w:styleId="4">
    <w:name w:val="Заголовок 4 Знак"/>
    <w:qFormat/>
    <w:rPr>
      <w:rFonts w:ascii="Times New Roman" w:hAnsi="Times New Roman"/>
      <w:sz w:val="28"/>
      <w:szCs w:val="20"/>
    </w:rPr>
  </w:style>
  <w:style w:type="character" w:styleId="Style9">
    <w:name w:val="Основной текст Знак"/>
    <w:qFormat/>
    <w:rPr>
      <w:rFonts w:ascii="Times New Roman" w:hAnsi="Times New Roman"/>
      <w:sz w:val="28"/>
      <w:szCs w:val="20"/>
    </w:rPr>
  </w:style>
  <w:style w:type="character" w:styleId="Style10">
    <w:name w:val="Нижний колонтитул Знак"/>
    <w:uiPriority w:val="99"/>
    <w:qFormat/>
    <w:rPr>
      <w:rFonts w:ascii="Times New Roman" w:hAnsi="Times New Roman"/>
      <w:sz w:val="28"/>
      <w:szCs w:val="20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1">
    <w:name w:val="Основной текст с отступом Знак"/>
    <w:uiPriority w:val="99"/>
    <w:qFormat/>
    <w:rPr>
      <w:sz w:val="22"/>
      <w:szCs w:val="22"/>
    </w:rPr>
  </w:style>
  <w:style w:type="character" w:styleId="21">
    <w:name w:val="Основной текст 2 Знак"/>
    <w:uiPriority w:val="99"/>
    <w:qFormat/>
    <w:rPr>
      <w:rFonts w:ascii="Times New Roman" w:hAnsi="Times New Roman"/>
      <w:sz w:val="24"/>
      <w:szCs w:val="24"/>
    </w:rPr>
  </w:style>
  <w:style w:type="character" w:styleId="ConsPlusNormal">
    <w:name w:val="ConsPlusNormal Знак"/>
    <w:uiPriority w:val="99"/>
    <w:qFormat/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  <w:qFormat/>
  </w:style>
  <w:style w:type="paragraph" w:styleId="Style12">
    <w:name w:val="Заголовок"/>
    <w:basedOn w:val="Normal"/>
    <w:next w:val="BodyText"/>
    <w:qFormat/>
    <w:pPr>
      <w:keepNext/>
      <w:widowControl w:val="off"/>
      <w:spacing w:before="240" w:after="120" w:line="240" w:lineRule="auto"/>
    </w:pPr>
    <w:rPr>
      <w:rFonts w:ascii="PT Astra Serif" w:hAnsi="PT Astra Serif" w:eastAsia="DejaVu Sans" w:cs="Noto Sans Devanagari"/>
      <w:sz w:val="28"/>
      <w:szCs w:val="28"/>
      <w:lang w:eastAsia="zh-CN" w:bidi="hi-IN"/>
    </w:rPr>
  </w:style>
  <w:style w:type="paragraph" w:styleId="BodyText">
    <w:name w:val="Body Text"/>
    <w:basedOn w:val="Normal"/>
    <w:pPr>
      <w:spacing w:before="0"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List">
    <w:name w:val="List"/>
    <w:basedOn w:val="BodyText"/>
    <w:pPr>
      <w:widowControl w:val="off"/>
      <w:spacing w:before="0" w:after="140" w:line="276" w:lineRule="auto"/>
      <w:jc w:val="left"/>
    </w:pPr>
    <w:rPr>
      <w:rFonts w:ascii="PT Astra Serif" w:hAnsi="PT Astra Serif" w:eastAsia="DejaVu Sans" w:cs="Noto Sans Devanagari"/>
      <w:sz w:val="22"/>
      <w:szCs w:val="24"/>
      <w:lang w:eastAsia="zh-CN" w:bidi="hi-IN"/>
    </w:rPr>
  </w:style>
  <w:style w:type="paragraph" w:styleId="Caption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</w:style>
  <w:style w:type="paragraph" w:styleId="NoSpacing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  <w:spacing w:before="0"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Footer">
    <w:name w:val="Footer"/>
    <w:basedOn w:val="Normal"/>
    <w:uiPriority w:val="99"/>
    <w:pPr>
      <w:tabs>
        <w:tab w:val="clear" w:pos="708"/>
        <w:tab w:val="center" w:pos="4153" w:leader="none"/>
        <w:tab w:val="right" w:pos="8306" w:leader="none"/>
      </w:tabs>
      <w:spacing w:before="0" w:after="0" w:line="240" w:lineRule="auto"/>
    </w:pPr>
    <w:rPr>
      <w:rFonts w:ascii="Times New Roman" w:hAnsi="Times New Roman"/>
      <w:sz w:val="28"/>
      <w:szCs w:val="20"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left="0" w:right="0" w:firstLine="0"/>
    </w:pPr>
  </w:style>
  <w:style w:type="paragraph" w:styleId="TOC2">
    <w:name w:val="TOC 2"/>
    <w:basedOn w:val="Normal"/>
    <w:uiPriority w:val="39"/>
    <w:unhideWhenUsed/>
    <w:pPr>
      <w:spacing w:before="0" w:after="57"/>
      <w:ind w:left="283" w:right="0" w:firstLine="0"/>
    </w:pPr>
  </w:style>
  <w:style w:type="paragraph" w:styleId="TOC3">
    <w:name w:val="TOC 3"/>
    <w:basedOn w:val="Normal"/>
    <w:uiPriority w:val="39"/>
    <w:unhideWhenUsed/>
    <w:pPr>
      <w:spacing w:before="0" w:after="57"/>
      <w:ind w:left="567" w:right="0" w:firstLine="0"/>
    </w:pPr>
  </w:style>
  <w:style w:type="paragraph" w:styleId="TOC4">
    <w:name w:val="TOC 4"/>
    <w:basedOn w:val="Normal"/>
    <w:uiPriority w:val="39"/>
    <w:unhideWhenUsed/>
    <w:pPr>
      <w:spacing w:before="0" w:after="57"/>
      <w:ind w:left="850" w:right="0" w:firstLine="0"/>
    </w:pPr>
  </w:style>
  <w:style w:type="paragraph" w:styleId="TOC5">
    <w:name w:val="TOC 5"/>
    <w:basedOn w:val="Normal"/>
    <w:uiPriority w:val="39"/>
    <w:unhideWhenUsed/>
    <w:pPr>
      <w:spacing w:before="0" w:after="57"/>
      <w:ind w:left="1134" w:right="0" w:firstLine="0"/>
    </w:pPr>
  </w:style>
  <w:style w:type="paragraph" w:styleId="TOC6">
    <w:name w:val="TOC 6"/>
    <w:basedOn w:val="Normal"/>
    <w:uiPriority w:val="39"/>
    <w:unhideWhenUsed/>
    <w:pPr>
      <w:spacing w:before="0" w:after="57"/>
      <w:ind w:left="1417" w:right="0" w:firstLine="0"/>
    </w:pPr>
  </w:style>
  <w:style w:type="paragraph" w:styleId="TOC7">
    <w:name w:val="TOC 7"/>
    <w:basedOn w:val="Normal"/>
    <w:uiPriority w:val="39"/>
    <w:unhideWhenUsed/>
    <w:pPr>
      <w:spacing w:before="0" w:after="57"/>
      <w:ind w:left="1701" w:right="0" w:firstLine="0"/>
    </w:pPr>
  </w:style>
  <w:style w:type="paragraph" w:styleId="TOC8">
    <w:name w:val="TOC 8"/>
    <w:basedOn w:val="Normal"/>
    <w:uiPriority w:val="39"/>
    <w:unhideWhenUsed/>
    <w:pPr>
      <w:spacing w:before="0" w:after="57"/>
      <w:ind w:left="1984" w:right="0" w:firstLine="0"/>
    </w:pPr>
  </w:style>
  <w:style w:type="paragraph" w:styleId="TOC9">
    <w:name w:val="TOC 9"/>
    <w:basedOn w:val="Normal"/>
    <w:uiPriority w:val="39"/>
    <w:unhideWhenUsed/>
    <w:pPr>
      <w:spacing w:before="0" w:after="57"/>
      <w:ind w:left="2268" w:right="0" w:firstLine="0"/>
    </w:pPr>
  </w:style>
  <w:style w:type="paragraph" w:styleId="IndexHeading">
    <w:name w:val="Index Heading"/>
    <w:basedOn w:val="Style12"/>
  </w:style>
  <w:style w:type="paragraph" w:styleId="TOCHeading">
    <w:name w:val="TOC Heading"/>
    <w:uiPriority w:val="39"/>
    <w:unhideWhenUsed/>
    <w:qFormat/>
    <w:pPr>
      <w:widowControl/>
      <w:spacing w:before="0" w:after="0"/>
      <w:jc w:val="left"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 w:afterAutospacing="0"/>
    </w:pPr>
  </w:style>
  <w:style w:type="paragraph" w:styleId="Style14">
    <w:name w:val="Текст выноски"/>
    <w:basedOn w:val="Normal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uiPriority w:val="99"/>
    <w:unhideWhenUsed/>
    <w:pPr>
      <w:spacing w:before="0" w:after="120"/>
      <w:ind w:left="283"/>
    </w:pPr>
  </w:style>
  <w:style w:type="paragraph" w:styleId="Style15">
    <w:name w:val="Абзац списка"/>
    <w:basedOn w:val="Normal"/>
    <w:uiPriority w:val="34"/>
    <w:qFormat/>
    <w:pPr>
      <w:spacing w:before="0" w:after="200"/>
      <w:ind w:left="720"/>
      <w:contextualSpacing/>
    </w:pPr>
  </w:style>
  <w:style w:type="paragraph" w:styleId="211">
    <w:name w:val="Основной текст 21"/>
    <w:basedOn w:val="Normal"/>
    <w:qFormat/>
    <w:pPr>
      <w:spacing w:before="0"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22">
    <w:name w:val="Основной текст 2"/>
    <w:basedOn w:val="Normal"/>
    <w:uiPriority w:val="99"/>
    <w:unhideWhenUsed/>
    <w:qFormat/>
    <w:pPr>
      <w:spacing w:before="0" w:after="120" w:line="480" w:lineRule="auto"/>
    </w:pPr>
    <w:rPr>
      <w:rFonts w:ascii="Times New Roman" w:hAnsi="Times New Roman"/>
      <w:sz w:val="24"/>
      <w:szCs w:val="24"/>
    </w:rPr>
  </w:style>
  <w:style w:type="paragraph" w:styleId="Style16">
    <w:name w:val="Знак Знак Знак Знак"/>
    <w:basedOn w:val="Normal"/>
    <w:qFormat/>
    <w:pPr>
      <w:widowControl w:val="off"/>
      <w:spacing w:beforeAutospacing="1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Normal1">
    <w:name w:val="ConsPlusNormal"/>
    <w:uiPriority w:val="99"/>
    <w:qFormat/>
    <w:pPr>
      <w:widowControl w:val="off"/>
      <w:spacing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Style17">
    <w:name w:val="Название объекта"/>
    <w:basedOn w:val="Normal"/>
    <w:qFormat/>
    <w:pPr>
      <w:widowControl w:val="off"/>
      <w:suppressLineNumbers/>
      <w:spacing w:before="120" w:after="120" w:line="240" w:lineRule="auto"/>
    </w:pPr>
    <w:rPr>
      <w:rFonts w:ascii="PT Astra Serif" w:hAnsi="PT Astra Serif" w:eastAsia="DejaVu Sans" w:cs="Noto Sans Devanagari"/>
      <w:i/>
      <w:iCs/>
      <w:sz w:val="24"/>
      <w:szCs w:val="24"/>
      <w:lang w:eastAsia="zh-CN" w:bidi="hi-IN"/>
    </w:rPr>
  </w:style>
  <w:style w:type="paragraph" w:styleId="1">
    <w:name w:val="Указатель1"/>
    <w:basedOn w:val="Normal"/>
    <w:qFormat/>
    <w:pPr>
      <w:widowControl w:val="off"/>
      <w:suppressLineNumbers/>
      <w:spacing w:before="0" w:after="0" w:line="240" w:lineRule="auto"/>
    </w:pPr>
    <w:rPr>
      <w:rFonts w:ascii="PT Astra Serif" w:hAnsi="PT Astra Serif" w:eastAsia="DejaVu Sans" w:cs="Noto Sans Devanagari"/>
      <w:szCs w:val="24"/>
      <w:lang w:eastAsia="zh-CN" w:bidi="hi-IN"/>
    </w:rPr>
  </w:style>
  <w:style w:type="paragraph" w:styleId="14441403254ShishkinaTN3d834854ba094803bd3b5860d6ac4db4DataSourceProviderrukristaplanning2commonwebbe">
    <w:name w:val="Версия сервера генератора печатных документов: 14.44 Версия клиента генератора печатных документов: 14.0.32 Текущий пользователь: 54_Shishkina.T.N_3d834854ba094803bd3b5860d6ac4db4 Данные о генерации: DataSourceProvider: ru.krista.planning2.common.web.be"/>
    <w:qFormat/>
    <w:pPr>
      <w:widowControl w:val="off"/>
      <w:spacing w:before="0" w:after="0"/>
      <w:jc w:val="left"/>
    </w:pPr>
    <w:rPr>
      <w:rFonts w:ascii="Calibri" w:hAnsi="Calibri" w:eastAsia="DejaVu Sans" w:cs="Noto Sans Devanagari"/>
      <w:color w:val="auto"/>
      <w:sz w:val="22"/>
      <w:szCs w:val="24"/>
      <w:lang w:val="ru-RU" w:eastAsia="zh-CN" w:bidi="hi-IN"/>
    </w:rPr>
  </w:style>
  <w:style w:type="paragraph" w:styleId="futurismarkdown-paragraph" w:customStyle="1">
    <w:name w:val="futurismarkdown-paragraph"/>
    <w:qFormat/>
    <w:pPr>
      <w:keepNext w:val="0"/>
      <w:keepLines w:val="0"/>
      <w:pageBreakBefore w:val="0"/>
      <w:widowControl/>
      <w:shd w:val="nil" w:color="000000"/>
      <w:spacing w:before="280" w:beforeAutospacing="0" w:after="28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zh-CN" w:bidi="ar-SA"/>
      <w14:ligatures w14:val="none"/>
    </w:rPr>
  </w:style>
  <w:style w:type="numbering" w:styleId="Style18">
    <w:name w:val="Нет списка"/>
    <w:uiPriority w:val="99"/>
    <w:semiHidden/>
    <w:unhideWhenUsed/>
    <w:qFormat/>
  </w:style>
  <w:style w:type="numbering" w:styleId="11">
    <w:name w:val="Нет списка1"/>
    <w:uiPriority w:val="99"/>
    <w:semiHidden/>
    <w:unhideWhenUsed/>
    <w:qFormat/>
  </w:style>
  <w:style w:type="numbering" w:styleId="23">
    <w:name w:val="Нет списка2"/>
    <w:uiPriority w:val="99"/>
    <w:semiHidden/>
    <w:unhideWhenUsed/>
    <w:qFormat/>
  </w:style>
  <w:style w:type="numbering" w:styleId="3">
    <w:name w:val="Нет списка3"/>
    <w:uiPriority w:val="99"/>
    <w:semiHidden/>
    <w:unhideWhenUsed/>
    <w:qFormat/>
  </w:style>
  <w:style w:type="numbering" w:styleId="41">
    <w:name w:val="Нет списка4"/>
    <w:uiPriority w:val="99"/>
    <w:semiHidden/>
    <w:unhideWhenUsed/>
    <w:qFormat/>
  </w:style>
  <w:style w:type="numbering" w:styleId="Style19" w:default="1">
    <w:name w:val="Без списка"/>
    <w:uiPriority w:val="99"/>
    <w:semiHidden/>
    <w:unhideWhenUsed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image" Target="media/media1.sv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37067</Characters>
  <CharactersWithSpaces>41520</CharactersWithSpaces>
  <Company>dtsr</Company>
  <Pages>34</Pages>
  <Paragraphs>404</Paragraphs>
  <Template>Normal</Template>
  <TotalTime>6</TotalTime>
  <Words>4789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dc:description/>
  <dc:language>ru-RU</dc:language>
  <cp:lastModifiedBy/>
  <cp:revision>5</cp:revision>
  <dcterms:created xsi:type="dcterms:W3CDTF">2024-12-16T03:25:00Z</dcterms:created>
  <dcterms:modified xsi:type="dcterms:W3CDTF">2025-08-05T15:22:45Z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