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footer12.xml" ContentType="application/vnd.openxmlformats-officedocument.wordprocessingml.footer+xml"/>
  <Override PartName="/word/footer10.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2.xml" ContentType="application/vnd.openxmlformats-officedocument.wordprocessingml.header+xml"/>
  <Override PartName="/word/header10.xml" ContentType="application/vnd.openxmlformats-officedocument.wordprocessingml.header+xml"/>
  <Override PartName="/word/header8.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4.xml" ContentType="application/vnd.openxmlformats-officedocument.wordprocessingml.footer+xml"/>
  <Override PartName="/word/header11.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7.xml" ContentType="application/vnd.openxmlformats-officedocument.wordprocessingml.header+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3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3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Правительства Новосибирской области от 24.03.2021 N 86-п</w:t>
              <w:br/>
              <w:t xml:space="preserve">(ред. от 21.10.2024)</w:t>
              <w:br/>
              <w:t xml:space="preserve">"Об утверждении региональной программы Новосибирской области "Снижение доли населения с денежными доходами ниже границы бедности в Новосибирской области на период до 2030 года"</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31" w:tooltip="Ссылка на КонсультантПлюс" w:history="0">
              <w:r>
                <w:rPr>
                  <w:b/>
                  <w:color w:val="0000ff"/>
                  <w:sz w:val="28"/>
                </w:rPr>
                <w:t xml:space="preserve">КонсультантПлюс</w:t>
                <w:br/>
                <w:br/>
              </w:r>
            </w:hyperlink>
            <w:hyperlink r:id="rId32" w:tooltip="Ссылка на КонсультантПлюс" w:history="0">
              <w:r>
                <w:rPr>
                  <w:b/>
                  <w:color w:val="0000ff"/>
                  <w:sz w:val="28"/>
                </w:rPr>
                <w:t xml:space="preserve">www.consultant.ru</w:t>
              </w:r>
            </w:hyperlink>
            <w:r>
              <w:rPr>
                <w:sz w:val="28"/>
              </w:rPr>
              <w:br/>
              <w:br/>
              <w:t xml:space="preserve">Дата сохранения: 09.04.2026</w:t>
            </w:r>
            <w:r>
              <w:rPr>
                <w:sz w:val="28"/>
              </w:rPr>
              <w:br/>
              <w:t xml:space="preserve"> </w:t>
            </w:r>
          </w:p>
        </w:tc>
      </w:tr>
    </w:tbl>
    <w:p>
      <w:pPr>
        <w:sectPr>
          <w:pgSz w:w="11906" w:h="16838"/>
          <w:pgMar w:top="841" w:right="595" w:bottom="841" w:left="595" w:header="0" w:footer="0" w:gutter="0"/>
          <w:cols w:space="708"/>
          <w:docGrid w:linePitch="360"/>
          <w:titlePg/>
        </w:sectPr>
      </w:pPr>
    </w:p>
    <w:p>
      <w:pPr>
        <w:pStyle w:val="0"/>
        <w:ind w:firstLine="540"/>
        <w:jc w:val="both"/>
        <w:outlineLvl w:val="0"/>
      </w:pPr>
      <w:r>
        <w:rPr>
          <w:sz w:val="24"/>
        </w:rPr>
      </w:r>
    </w:p>
    <w:p>
      <w:pPr>
        <w:pStyle w:val="2"/>
        <w:jc w:val="center"/>
        <w:outlineLvl w:val="0"/>
      </w:pPr>
      <w:r>
        <w:rPr>
          <w:sz w:val="24"/>
        </w:rPr>
        <w:t xml:space="preserve">ПРАВИТЕЛЬСТВО НОВОСИБИРСКОЙ ОБЛАСТИ</w:t>
      </w:r>
    </w:p>
    <w:p>
      <w:pPr>
        <w:pStyle w:val="2"/>
        <w:ind w:firstLine="540"/>
        <w:jc w:val="both"/>
      </w:pPr>
      <w:r>
        <w:rPr>
          <w:sz w:val="24"/>
        </w:rPr>
      </w:r>
    </w:p>
    <w:p>
      <w:pPr>
        <w:pStyle w:val="2"/>
        <w:jc w:val="center"/>
      </w:pPr>
      <w:r>
        <w:rPr>
          <w:sz w:val="24"/>
        </w:rPr>
        <w:t xml:space="preserve">ПОСТАНОВЛЕНИЕ</w:t>
      </w:r>
    </w:p>
    <w:p>
      <w:pPr>
        <w:pStyle w:val="2"/>
        <w:jc w:val="center"/>
      </w:pPr>
      <w:r>
        <w:rPr>
          <w:sz w:val="24"/>
        </w:rPr>
        <w:t xml:space="preserve">от 24 марта 2021 г. N 86-п</w:t>
      </w:r>
    </w:p>
    <w:p>
      <w:pPr>
        <w:pStyle w:val="2"/>
        <w:ind w:firstLine="540"/>
        <w:jc w:val="both"/>
      </w:pPr>
      <w:r>
        <w:rPr>
          <w:sz w:val="24"/>
        </w:rPr>
      </w:r>
    </w:p>
    <w:p>
      <w:pPr>
        <w:pStyle w:val="2"/>
        <w:jc w:val="center"/>
      </w:pPr>
      <w:r>
        <w:rPr>
          <w:sz w:val="24"/>
        </w:rPr>
        <w:t xml:space="preserve">ОБ УТВЕРЖДЕНИИ РЕГИОНАЛЬНОЙ ПРОГРАММЫ НОВОСИБИРСКОЙ ОБЛАСТИ</w:t>
      </w:r>
    </w:p>
    <w:p>
      <w:pPr>
        <w:pStyle w:val="2"/>
        <w:jc w:val="center"/>
      </w:pPr>
      <w:r>
        <w:rPr>
          <w:sz w:val="24"/>
        </w:rPr>
        <w:t xml:space="preserve">"СНИЖЕНИЕ ДОЛИ НАСЕЛЕНИЯ С ДЕНЕЖНЫМИ ДОХОДАМИ НИЖЕ ГРАНИЦЫ</w:t>
      </w:r>
    </w:p>
    <w:p>
      <w:pPr>
        <w:pStyle w:val="2"/>
        <w:jc w:val="center"/>
      </w:pPr>
      <w:r>
        <w:rPr>
          <w:sz w:val="24"/>
        </w:rPr>
        <w:t xml:space="preserve">БЕДНОСТИ В НОВОСИБИРСКОЙ ОБЛАСТИ НА ПЕРИОД ДО 2030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Новосибирской области</w:t>
            </w:r>
          </w:p>
          <w:p>
            <w:pPr>
              <w:pStyle w:val="0"/>
              <w:jc w:val="center"/>
            </w:pPr>
            <w:r>
              <w:rPr>
                <w:color w:val="392c69"/>
                <w:sz w:val="24"/>
              </w:rPr>
              <w:t xml:space="preserve">от 13.04.2022 </w:t>
            </w:r>
            <w:hyperlink r:id="rId33" w:tooltip="Постановление Правительства Новосибирской области от 13.04.2022 N 158-п &quot;О внесении изменений в постановление Правительства Новосибирской области от 24.03.2021 N 86-п&quot; {КонсультантПлюс}" w:history="0">
              <w:r>
                <w:rPr>
                  <w:color w:val="0000ff"/>
                  <w:sz w:val="24"/>
                </w:rPr>
                <w:t xml:space="preserve">N 158-п</w:t>
              </w:r>
            </w:hyperlink>
            <w:r>
              <w:rPr>
                <w:color w:val="392c69"/>
                <w:sz w:val="24"/>
              </w:rPr>
              <w:t xml:space="preserve">, от 21.10.2024 </w:t>
            </w:r>
            <w:hyperlink r:id="rId34" w:tooltip="Постановление Правительства Новосибирской области от 21.10.2024 N 473-п &quot;О внесении изменений в постановление Правительства Новосибирской области от 24.03.2021 N 86-п&quot; {КонсультантПлюс}" w:history="0">
              <w:r>
                <w:rPr>
                  <w:color w:val="0000ff"/>
                  <w:sz w:val="24"/>
                </w:rPr>
                <w:t xml:space="preserve">N 473-п</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В целях реализации </w:t>
      </w:r>
      <w:hyperlink r:id="rId35"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history="0">
        <w:r>
          <w:rPr>
            <w:color w:val="0000ff"/>
            <w:sz w:val="24"/>
          </w:rPr>
          <w:t xml:space="preserve">Указа</w:t>
        </w:r>
      </w:hyperlink>
      <w:r>
        <w:rPr>
          <w:sz w:val="24"/>
        </w:rP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в соответствии с </w:t>
      </w:r>
      <w:hyperlink r:id="rId36" w:tooltip="Приказ Минтруда России от 03.03.2023 N 128 &quot;Об утверждении методических рекомендаций по разработке региональных программ снижения доли населения с доходами ниже границы бедности и признании утратившими силу приказа Министерства труда и социальной защиты Российской Федерации от 11 июня 2020 г. N 326 и внесенных в него изменений&quot; {КонсультантПлюс}" w:history="0">
        <w:r>
          <w:rPr>
            <w:color w:val="0000ff"/>
            <w:sz w:val="24"/>
          </w:rPr>
          <w:t xml:space="preserve">приказом</w:t>
        </w:r>
      </w:hyperlink>
      <w:r>
        <w:rPr>
          <w:sz w:val="24"/>
        </w:rPr>
        <w:t xml:space="preserve"> Министерства труда и социальной защиты Российской Федерации от 03.03.2023 N 128 "Об утверждении методических рекомендаций по разработке региональных программ снижения доли населения с доходами ниже границы бедности и признании утратившими силу приказа Министерства труда и социальной защиты Российской Федерации от 11 июня 2020 г. и внесенных в него изменений" Правительство Новосибирской области постановляет:</w:t>
      </w:r>
    </w:p>
    <w:p>
      <w:pPr>
        <w:pStyle w:val="0"/>
        <w:jc w:val="both"/>
      </w:pPr>
      <w:r>
        <w:rPr>
          <w:sz w:val="24"/>
        </w:rPr>
        <w:t xml:space="preserve">(преамбула в ред. </w:t>
      </w:r>
      <w:hyperlink r:id="rId37" w:tooltip="Постановление Правительства Новосибирской области от 21.10.2024 N 473-п &quot;О внесении изменений в постановление Правительства Новосибирской области от 24.03.2021 N 86-п&quot; {КонсультантПлюс}" w:history="0">
        <w:r>
          <w:rPr>
            <w:color w:val="0000ff"/>
            <w:sz w:val="24"/>
          </w:rPr>
          <w:t xml:space="preserve">постановления</w:t>
        </w:r>
      </w:hyperlink>
      <w:r>
        <w:rPr>
          <w:sz w:val="24"/>
        </w:rPr>
        <w:t xml:space="preserve"> Правительства Новосибирской области от 21.10.2024 N 473-п)</w:t>
      </w:r>
    </w:p>
    <w:p>
      <w:pPr>
        <w:pStyle w:val="0"/>
        <w:spacing w:before="240"/>
        <w:ind w:firstLine="540"/>
        <w:jc w:val="both"/>
      </w:pPr>
      <w:r>
        <w:rPr>
          <w:sz w:val="24"/>
        </w:rPr>
        <w:t xml:space="preserve">1. Утвердить прилагаемую региональную </w:t>
      </w:r>
      <w:hyperlink w:tooltip="РЕГИОНАЛЬНАЯ ПРОГРАММА" w:anchor="P32" w:history="0">
        <w:r>
          <w:rPr>
            <w:color w:val="0000ff"/>
            <w:sz w:val="24"/>
          </w:rPr>
          <w:t xml:space="preserve">программу</w:t>
        </w:r>
      </w:hyperlink>
      <w:r>
        <w:rPr>
          <w:sz w:val="24"/>
        </w:rPr>
        <w:t xml:space="preserve"> Новосибирской области "Снижение доли населения с денежными доходами ниже границы бедности в Новосибирской области на период до 2030 года".</w:t>
      </w:r>
    </w:p>
    <w:p>
      <w:pPr>
        <w:pStyle w:val="0"/>
        <w:jc w:val="both"/>
      </w:pPr>
      <w:r>
        <w:rPr>
          <w:sz w:val="24"/>
        </w:rPr>
        <w:t xml:space="preserve">(в ред. </w:t>
      </w:r>
      <w:hyperlink r:id="rId38" w:tooltip="Постановление Правительства Новосибирской области от 21.10.2024 N 473-п &quot;О внесении изменений в постановление Правительства Новосибирской области от 24.03.2021 N 86-п&quot; {КонсультантПлюс}" w:history="0">
        <w:r>
          <w:rPr>
            <w:color w:val="0000ff"/>
            <w:sz w:val="24"/>
          </w:rPr>
          <w:t xml:space="preserve">постановления</w:t>
        </w:r>
      </w:hyperlink>
      <w:r>
        <w:rPr>
          <w:sz w:val="24"/>
        </w:rPr>
        <w:t xml:space="preserve"> Правительства Новосибирской области от 21.10.2024 N 473-п)</w:t>
      </w:r>
    </w:p>
    <w:p>
      <w:pPr>
        <w:pStyle w:val="0"/>
        <w:spacing w:before="240"/>
        <w:ind w:firstLine="540"/>
        <w:jc w:val="both"/>
      </w:pPr>
      <w:r>
        <w:rPr>
          <w:sz w:val="24"/>
        </w:rPr>
        <w:t xml:space="preserve">2. Контроль за исполнением настоящего постановления возложить на заместителя Губернатора Новосибирской области Хальзова К.В.</w:t>
      </w:r>
    </w:p>
    <w:p>
      <w:pPr>
        <w:pStyle w:val="0"/>
        <w:jc w:val="both"/>
      </w:pPr>
      <w:r>
        <w:rPr>
          <w:sz w:val="24"/>
        </w:rPr>
        <w:t xml:space="preserve">(в ред. </w:t>
      </w:r>
      <w:hyperlink r:id="rId39" w:tooltip="Постановление Правительства Новосибирской области от 21.10.2024 N 473-п &quot;О внесении изменений в постановление Правительства Новосибирской области от 24.03.2021 N 86-п&quot; {КонсультантПлюс}" w:history="0">
        <w:r>
          <w:rPr>
            <w:color w:val="0000ff"/>
            <w:sz w:val="24"/>
          </w:rPr>
          <w:t xml:space="preserve">постановления</w:t>
        </w:r>
      </w:hyperlink>
      <w:r>
        <w:rPr>
          <w:sz w:val="24"/>
        </w:rPr>
        <w:t xml:space="preserve"> Правительства Новосибирской области от 21.10.2024 N 473-п)</w:t>
      </w:r>
    </w:p>
    <w:p>
      <w:pPr>
        <w:pStyle w:val="0"/>
        <w:ind w:firstLine="540"/>
        <w:jc w:val="both"/>
      </w:pPr>
      <w:r>
        <w:rPr>
          <w:sz w:val="24"/>
        </w:rPr>
      </w:r>
    </w:p>
    <w:p>
      <w:pPr>
        <w:pStyle w:val="0"/>
        <w:jc w:val="right"/>
      </w:pPr>
      <w:r>
        <w:rPr>
          <w:sz w:val="24"/>
        </w:rPr>
        <w:t xml:space="preserve">Губернатор Новосибирской области</w:t>
      </w:r>
    </w:p>
    <w:p>
      <w:pPr>
        <w:pStyle w:val="0"/>
        <w:jc w:val="right"/>
      </w:pPr>
      <w:r>
        <w:rPr>
          <w:sz w:val="24"/>
        </w:rPr>
        <w:t xml:space="preserve">А.А.ТРАВНИКОВ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0"/>
      </w:pPr>
      <w:r>
        <w:rPr>
          <w:sz w:val="24"/>
        </w:rPr>
        <w:t xml:space="preserve">Утверждена</w:t>
      </w:r>
    </w:p>
    <w:p>
      <w:pPr>
        <w:pStyle w:val="0"/>
        <w:jc w:val="right"/>
      </w:pPr>
      <w:r>
        <w:rPr>
          <w:sz w:val="24"/>
        </w:rPr>
        <w:t xml:space="preserve">постановлением</w:t>
      </w:r>
    </w:p>
    <w:p>
      <w:pPr>
        <w:pStyle w:val="0"/>
        <w:jc w:val="right"/>
      </w:pPr>
      <w:r>
        <w:rPr>
          <w:sz w:val="24"/>
        </w:rPr>
        <w:t xml:space="preserve">Правительства Новосибирской области</w:t>
      </w:r>
    </w:p>
    <w:p>
      <w:pPr>
        <w:pStyle w:val="0"/>
        <w:jc w:val="right"/>
      </w:pPr>
      <w:r>
        <w:rPr>
          <w:sz w:val="24"/>
        </w:rPr>
        <w:t xml:space="preserve">от 24.03.2021 N 86-п</w:t>
      </w:r>
    </w:p>
    <w:p>
      <w:pPr>
        <w:pStyle w:val="0"/>
        <w:ind w:firstLine="540"/>
        <w:jc w:val="both"/>
      </w:pPr>
      <w:r>
        <w:rPr>
          <w:sz w:val="24"/>
        </w:rPr>
      </w:r>
    </w:p>
    <w:bookmarkStart w:id="32" w:name="P32"/>
    <w:bookmarkEnd w:id="32"/>
    <w:p>
      <w:pPr>
        <w:pStyle w:val="2"/>
        <w:jc w:val="center"/>
      </w:pPr>
      <w:r>
        <w:rPr>
          <w:sz w:val="24"/>
        </w:rPr>
        <w:t xml:space="preserve">РЕГИОНАЛЬНАЯ ПРОГРАММА</w:t>
      </w:r>
    </w:p>
    <w:p>
      <w:pPr>
        <w:pStyle w:val="2"/>
        <w:jc w:val="center"/>
      </w:pPr>
      <w:r>
        <w:rPr>
          <w:sz w:val="24"/>
        </w:rPr>
        <w:t xml:space="preserve">НОВОСИБИРСКОЙ ОБЛАСТИ "СНИЖЕНИЕ ДОЛИ НАСЕЛЕНИЯ</w:t>
      </w:r>
    </w:p>
    <w:p>
      <w:pPr>
        <w:pStyle w:val="2"/>
        <w:jc w:val="center"/>
      </w:pPr>
      <w:r>
        <w:rPr>
          <w:sz w:val="24"/>
        </w:rPr>
        <w:t xml:space="preserve">С ДЕНЕЖНЫМИ ДОХОДАМИ НИЖЕ ГРАНИЦЫ БЕДНОСТИ В</w:t>
      </w:r>
    </w:p>
    <w:p>
      <w:pPr>
        <w:pStyle w:val="2"/>
        <w:jc w:val="center"/>
      </w:pPr>
      <w:r>
        <w:rPr>
          <w:sz w:val="24"/>
        </w:rPr>
        <w:t xml:space="preserve">НОВОСИБИРСКОЙ ОБЛАСТИ НА ПЕРИОД ДО 2030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w:t>
            </w:r>
            <w:hyperlink r:id="rId40" w:tooltip="Постановление Правительства Новосибирской области от 21.10.2024 N 473-п &quot;О внесении изменений в постановление Правительства Новосибирской области от 24.03.2021 N 86-п&quot; {КонсультантПлюс}" w:history="0">
              <w:r>
                <w:rPr>
                  <w:color w:val="0000ff"/>
                  <w:sz w:val="24"/>
                </w:rPr>
                <w:t xml:space="preserve">постановления</w:t>
              </w:r>
            </w:hyperlink>
            <w:r>
              <w:rPr>
                <w:color w:val="392c69"/>
                <w:sz w:val="24"/>
              </w:rPr>
              <w:t xml:space="preserve"> Правительства Новосибирской области</w:t>
            </w:r>
          </w:p>
          <w:p>
            <w:pPr>
              <w:pStyle w:val="0"/>
              <w:jc w:val="center"/>
            </w:pPr>
            <w:r>
              <w:rPr>
                <w:color w:val="392c69"/>
                <w:sz w:val="24"/>
              </w:rPr>
              <w:t xml:space="preserve">от 21.10.2024 N 473-п)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2"/>
        <w:jc w:val="center"/>
        <w:outlineLvl w:val="1"/>
      </w:pPr>
      <w:r>
        <w:rPr>
          <w:sz w:val="24"/>
        </w:rPr>
        <w:t xml:space="preserve">I. Общие положения</w:t>
      </w:r>
    </w:p>
    <w:p>
      <w:pPr>
        <w:pStyle w:val="0"/>
        <w:ind w:firstLine="540"/>
        <w:jc w:val="both"/>
      </w:pPr>
      <w:r>
        <w:rPr>
          <w:sz w:val="24"/>
        </w:rPr>
      </w:r>
    </w:p>
    <w:p>
      <w:pPr>
        <w:pStyle w:val="0"/>
        <w:ind w:firstLine="540"/>
        <w:jc w:val="both"/>
      </w:pPr>
      <w:r>
        <w:rPr>
          <w:sz w:val="24"/>
        </w:rPr>
        <w:t xml:space="preserve">Региональная программа Новосибирской области "Снижение доли населения с денежными доходами ниже границы бедности в Новосибирской области на период до 2030 года" (далее - региональная программа) подготовлена во исполнение </w:t>
      </w:r>
      <w:hyperlink r:id="rId41"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history="0">
        <w:r>
          <w:rPr>
            <w:color w:val="0000ff"/>
            <w:sz w:val="24"/>
          </w:rPr>
          <w:t xml:space="preserve">Указа</w:t>
        </w:r>
      </w:hyperlink>
      <w:r>
        <w:rPr>
          <w:sz w:val="24"/>
        </w:rP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и направлена на обеспечение устойчивого роста доходов населения и снижения уровня бедности ниже 7 процентов к 2030 году.</w:t>
      </w:r>
    </w:p>
    <w:p>
      <w:pPr>
        <w:pStyle w:val="0"/>
        <w:spacing w:before="240"/>
        <w:ind w:firstLine="540"/>
        <w:jc w:val="both"/>
      </w:pPr>
      <w:r>
        <w:rPr>
          <w:sz w:val="24"/>
        </w:rPr>
        <w:t xml:space="preserve">Реализация региональной программы осуществляется в соответствии с методическими </w:t>
      </w:r>
      <w:hyperlink r:id="rId42" w:tooltip="Приказ Минтруда России от 03.03.2023 N 128 &quot;Об утверждении методических рекомендаций по разработке региональных программ снижения доли населения с доходами ниже границы бедности и признании утратившими силу приказа Министерства труда и социальной защиты Российской Федерации от 11 июня 2020 г. N 326 и внесенных в него изменений&quot; {КонсультантПлюс}" w:history="0">
        <w:r>
          <w:rPr>
            <w:color w:val="0000ff"/>
            <w:sz w:val="24"/>
          </w:rPr>
          <w:t xml:space="preserve">рекомендациями</w:t>
        </w:r>
      </w:hyperlink>
      <w:r>
        <w:rPr>
          <w:sz w:val="24"/>
        </w:rPr>
        <w:t xml:space="preserve"> по разработке региональных программ снижения доли населения с доходами ниже границы бедности, утвержденными приказом Министерства труда и социальной защиты Российской Федерации от 03.03.2023 N 128 "Об утверждении методических рекомендаций по разработке региональных программ снижения доли населения с доходами ниже границы бедности и признании утратившими силу приказа Министерства труда и социальной защиты Российской Федерации от 11 июня 2020 г. N 326 и внесенных в него изменений".</w:t>
      </w:r>
    </w:p>
    <w:p>
      <w:pPr>
        <w:pStyle w:val="0"/>
        <w:ind w:firstLine="540"/>
        <w:jc w:val="both"/>
      </w:pPr>
      <w:r>
        <w:rPr>
          <w:sz w:val="24"/>
        </w:rPr>
      </w:r>
    </w:p>
    <w:p>
      <w:pPr>
        <w:pStyle w:val="2"/>
        <w:jc w:val="center"/>
        <w:outlineLvl w:val="1"/>
      </w:pPr>
      <w:r>
        <w:rPr>
          <w:sz w:val="24"/>
        </w:rPr>
        <w:t xml:space="preserve">II. Цель и задачи</w:t>
      </w:r>
    </w:p>
    <w:p>
      <w:pPr>
        <w:pStyle w:val="0"/>
        <w:ind w:firstLine="540"/>
        <w:jc w:val="both"/>
      </w:pPr>
      <w:r>
        <w:rPr>
          <w:sz w:val="24"/>
        </w:rPr>
      </w:r>
    </w:p>
    <w:p>
      <w:pPr>
        <w:pStyle w:val="0"/>
        <w:ind w:firstLine="540"/>
        <w:jc w:val="both"/>
      </w:pPr>
      <w:r>
        <w:rPr>
          <w:sz w:val="24"/>
        </w:rPr>
        <w:t xml:space="preserve">Целью региональной программы является обеспечение устойчивого роста доходов населения и снижение уровня бедности ниже 7 процентов к 2030 году. Достижение цели региональной программы требует решения следующих задач:</w:t>
      </w:r>
    </w:p>
    <w:p>
      <w:pPr>
        <w:pStyle w:val="0"/>
        <w:spacing w:before="240"/>
        <w:ind w:firstLine="540"/>
        <w:jc w:val="both"/>
      </w:pPr>
      <w:r>
        <w:rPr>
          <w:sz w:val="24"/>
        </w:rPr>
        <w:t xml:space="preserve">повышение денежных доходов граждан;</w:t>
      </w:r>
    </w:p>
    <w:p>
      <w:pPr>
        <w:pStyle w:val="0"/>
        <w:spacing w:before="240"/>
        <w:ind w:firstLine="540"/>
        <w:jc w:val="both"/>
      </w:pPr>
      <w:r>
        <w:rPr>
          <w:sz w:val="24"/>
        </w:rPr>
        <w:t xml:space="preserve">развитие системы социальной помощи и социального контракта;</w:t>
      </w:r>
    </w:p>
    <w:p>
      <w:pPr>
        <w:pStyle w:val="0"/>
        <w:spacing w:before="240"/>
        <w:ind w:firstLine="540"/>
        <w:jc w:val="both"/>
      </w:pPr>
      <w:r>
        <w:rPr>
          <w:sz w:val="24"/>
        </w:rPr>
        <w:t xml:space="preserve">организация социальной адаптации малоимущих граждан.</w:t>
      </w:r>
    </w:p>
    <w:p>
      <w:pPr>
        <w:pStyle w:val="0"/>
        <w:ind w:firstLine="540"/>
        <w:jc w:val="both"/>
      </w:pPr>
      <w:r>
        <w:rPr>
          <w:sz w:val="24"/>
        </w:rPr>
      </w:r>
    </w:p>
    <w:p>
      <w:pPr>
        <w:pStyle w:val="2"/>
        <w:jc w:val="center"/>
        <w:outlineLvl w:val="1"/>
      </w:pPr>
      <w:r>
        <w:rPr>
          <w:sz w:val="24"/>
        </w:rPr>
        <w:t xml:space="preserve">III. Анализ текущей ситуации</w:t>
      </w:r>
    </w:p>
    <w:p>
      <w:pPr>
        <w:pStyle w:val="0"/>
        <w:ind w:firstLine="540"/>
        <w:jc w:val="both"/>
      </w:pPr>
      <w:r>
        <w:rPr>
          <w:sz w:val="24"/>
        </w:rPr>
      </w:r>
    </w:p>
    <w:p>
      <w:pPr>
        <w:pStyle w:val="0"/>
        <w:ind w:firstLine="540"/>
        <w:jc w:val="both"/>
      </w:pPr>
      <w:r>
        <w:rPr>
          <w:sz w:val="24"/>
        </w:rPr>
        <w:t xml:space="preserve">Ситуация, связанная с уровнем жизни населения в Новосибирской области, характеризуется следующими показателями.</w:t>
      </w:r>
    </w:p>
    <w:p>
      <w:pPr>
        <w:pStyle w:val="0"/>
        <w:spacing w:before="240"/>
        <w:ind w:firstLine="540"/>
        <w:jc w:val="both"/>
      </w:pPr>
      <w:r>
        <w:rPr>
          <w:sz w:val="24"/>
        </w:rPr>
        <w:t xml:space="preserve">1. Информация о социально-экономическом развитии региона.</w:t>
      </w:r>
    </w:p>
    <w:p>
      <w:pPr>
        <w:pStyle w:val="0"/>
        <w:spacing w:before="240"/>
        <w:ind w:firstLine="540"/>
        <w:jc w:val="both"/>
      </w:pPr>
      <w:r>
        <w:rPr>
          <w:sz w:val="24"/>
        </w:rPr>
        <w:t xml:space="preserve">Объем валового регионального продукта Новосибирской области (далее - ВРП) по итогам 2021 года составил 1,6 трлн рублей, что выше уровня 2020 года на 7,8% в сопоставимых ценах. В 2022 году объем ВРП составил 1,9 трлн рублей, превысив показатель 2021 года на 2,9%. ВРП на душу населения Новосибирской области в 2022 году составил 693,6 тыс. рублей, что на 19,2% выше уровня 2021 года.</w:t>
      </w:r>
    </w:p>
    <w:p>
      <w:pPr>
        <w:pStyle w:val="0"/>
        <w:spacing w:before="240"/>
        <w:ind w:firstLine="540"/>
        <w:jc w:val="both"/>
      </w:pPr>
      <w:r>
        <w:rPr>
          <w:sz w:val="24"/>
        </w:rPr>
        <w:t xml:space="preserve">Важную роль в структуре ВРП и в целом в экономической жизни региона играет промышленный комплекс, удельный вес которого в структуре ВРП составляет 21%.</w:t>
      </w:r>
    </w:p>
    <w:p>
      <w:pPr>
        <w:pStyle w:val="0"/>
        <w:spacing w:before="240"/>
        <w:ind w:firstLine="540"/>
        <w:jc w:val="both"/>
      </w:pPr>
      <w:r>
        <w:rPr>
          <w:sz w:val="24"/>
        </w:rPr>
        <w:t xml:space="preserve">Индекс промышленного производства за 2021 - 2023 годы увеличился на 23,9% к уровню 2020 года. За 2023 год индекс промышленного производства составил 106,3% к уровню 2022 года. По приросту производства среди субъектов Сибирского федерального округа (далее - СФО) Новосибирская область занимает второе место. Наиболее высокие темпы роста промышленного производства в 2021 - 2023 годах отмечены в сфере обрабатывающих производств (прирост к уровню 2020 года составил 36,4%), а также в сфере добычи полезных ископаемых (прирост к уровню 2020 года - 30,3%). Индекс производства по виду деятельности "Добыча полезных ископаемых" в 2023 году составил 108% к уровню 2022 года, по виду деятельности "Обрабатывающие производства" - 108,5% к 2022 году, по виду деятельности "Обеспечение электрической энергией, газом и паром; кондиционирование воздуха" - 95,7% к 2022 году, по виду деятельности "Водоснабжение; водоотведение, организация сбора и утилизации отходов, деятельность по ликвидации загрязнений" - 80,8% к 2022 году.</w:t>
      </w:r>
    </w:p>
    <w:p>
      <w:pPr>
        <w:pStyle w:val="0"/>
        <w:spacing w:before="240"/>
        <w:ind w:firstLine="540"/>
        <w:jc w:val="both"/>
      </w:pPr>
      <w:r>
        <w:rPr>
          <w:sz w:val="24"/>
        </w:rPr>
        <w:t xml:space="preserve">Несмотря на экономические сложности и непростые климатические условия, агропромышленный комплекс Новосибирской области остается одной из стабильно работающих отраслей.</w:t>
      </w:r>
    </w:p>
    <w:p>
      <w:pPr>
        <w:pStyle w:val="0"/>
        <w:spacing w:before="240"/>
        <w:ind w:firstLine="540"/>
        <w:jc w:val="both"/>
      </w:pPr>
      <w:r>
        <w:rPr>
          <w:sz w:val="24"/>
        </w:rPr>
        <w:t xml:space="preserve">Объем производства продукции сельского хозяйства, произведенной в хозяйствах всех категорий, за 2021 - 2023 годы увеличился в сопоставимых ценах на 2,8% к уровню 2020 года. По площади посева зерновых культур и валовому сбору зерна Новосибирская область занимает третье место среди регионов СФО. В 2023 году аграриями Новосибирской области собрано 2,3 млн тонн зерна в весе после доработки (67,7% к уровню 2022 года). За 2021 - 2023 годы в хозяйствах всех категорий индекс производства молока относительно 2020 года составил 107,8%, производства мяса скота и птицы (в живом весе) - 94,1%, производства яиц - 85,1%.</w:t>
      </w:r>
    </w:p>
    <w:p>
      <w:pPr>
        <w:pStyle w:val="0"/>
        <w:spacing w:before="240"/>
        <w:ind w:firstLine="540"/>
        <w:jc w:val="both"/>
      </w:pPr>
      <w:r>
        <w:rPr>
          <w:sz w:val="24"/>
        </w:rPr>
        <w:t xml:space="preserve">В 2023 году в хозяйствах всех категорий производство основных видов продукции составило: молока - 887 тыс. тонн (99,2% к 2022 году), мяса скота и птицы (в живом весе) - 231,4 тыс. тонн (87,2%), яиц - 1059,2 млн штук (85,9%). В СФО регион занимает второе место по производству скота и птицы на убой (в живом весе) и производству молока, третье место по производству яиц.</w:t>
      </w:r>
    </w:p>
    <w:p>
      <w:pPr>
        <w:pStyle w:val="0"/>
        <w:spacing w:before="240"/>
        <w:ind w:firstLine="540"/>
        <w:jc w:val="both"/>
      </w:pPr>
      <w:r>
        <w:rPr>
          <w:sz w:val="24"/>
        </w:rPr>
        <w:t xml:space="preserve">В Новосибирской области отмечается достаточно стабильный спрос на товары и услуги. За 2021 год оборот розничной торговли в Новосибирской области составил 671,8 млрд рублей с индексом физического объема в сопоставимых ценах к 2020 году 113,7%, за 2022 год - 782,6 млрд рублей и 101,2% к уровню 2021 года, за 2023 год - 894,1 млрд рублей и 110,6% к уровню 2022 года. За три года (2021 - 2023 годы) оборот розничной торговли увеличился в сопоставимых ценах на 27,3% к уровню 2020 года. Оборот розничной торговли в 2023 году на 98,9% формировался торгующими организациями и индивидуальными предпринимателями, осуществляющими деятельность вне рынка, доля розничных рынков и ярмарок составила 1,1% (в 2022 году - 99,1% и 0,9%, в 2021 году - 99% и 1% соответственно).</w:t>
      </w:r>
    </w:p>
    <w:p>
      <w:pPr>
        <w:pStyle w:val="0"/>
        <w:spacing w:before="240"/>
        <w:ind w:firstLine="540"/>
        <w:jc w:val="both"/>
      </w:pPr>
      <w:r>
        <w:rPr>
          <w:sz w:val="24"/>
        </w:rPr>
        <w:t xml:space="preserve">Общий объем оборота оптовой торговли в Новосибирской области в 2021 году снизился на 4% к уровню 2020 года, в 2022 году - на 8,3% к уровню 2021 года. За два года индекс оборота оптовой торговли в сопоставимых ценах к уровню 2020 года составил 88%. За 2023 год общий объем оборота оптовой торговли составил 2438,5 млрд рублей с индексом физического объема к уровню 2022 года 106,6%, в том числе торгующими организациями - 1983,3 млрд рублей и 102,6% соответственно (в 2022 году - 1810,4 млрд рублей и 90,9%, в 2021 году - 1711,8 млрд рублей и 94,7%). При этом 81,3% от общего объема оборота за 2023 год сформировалось торгующими организациями оптовой торговли (в 2022 году - 84,6%, в 2021 году - 85,1%).</w:t>
      </w:r>
    </w:p>
    <w:p>
      <w:pPr>
        <w:pStyle w:val="0"/>
        <w:spacing w:before="240"/>
        <w:ind w:firstLine="540"/>
        <w:jc w:val="both"/>
      </w:pPr>
      <w:r>
        <w:rPr>
          <w:sz w:val="24"/>
        </w:rPr>
        <w:t xml:space="preserve">По обороту общественного питания Новосибирская область занимает лидирующую позицию среди регионов СФО. За три года (2021 - 2023 годы) оборот общественного питания увеличился на 49,5% к уровню 2020 года, составив за 2023 год 50,4 млрд рублей с индексом физического объема 103,2% к уровню 2022 года. Оборот общественного питания на душу населения Новосибирской области в 2023 году составил 18,3 тыс. рублей, почти в 2 раза выше уровня 2020 года.</w:t>
      </w:r>
    </w:p>
    <w:p>
      <w:pPr>
        <w:pStyle w:val="0"/>
        <w:spacing w:before="240"/>
        <w:ind w:firstLine="540"/>
        <w:jc w:val="both"/>
      </w:pPr>
      <w:r>
        <w:rPr>
          <w:sz w:val="24"/>
        </w:rPr>
        <w:t xml:space="preserve">В регионе отмечается замедление инвестиционной активности в связи с изменившимися внешними и внутренними условиями развития экономики (санкционное давление со стороны "недружественных стран", прекращение деятельности иностранных организаций на территории Российской Федерации). За период 2020 - 2022 годов в развитие экономики и социальной сферы Новосибирской области привлечено порядка 919 млрд рублей. Прирост инвестиций в сопоставимых ценах за 3 года составил 2,9% к уровню 2019 года. Доля инвестиций в ВРП по итогам 2022 года по оценке составила 17,9%.</w:t>
      </w:r>
    </w:p>
    <w:p>
      <w:pPr>
        <w:pStyle w:val="0"/>
        <w:spacing w:before="240"/>
        <w:ind w:firstLine="540"/>
        <w:jc w:val="both"/>
      </w:pPr>
      <w:r>
        <w:rPr>
          <w:sz w:val="24"/>
        </w:rPr>
        <w:t xml:space="preserve">Обеспечение качественными трудовыми ресурсами и эффективное развитие рынка труда положены в основу развития эффективной экономики Новосибирской области. По данным выборочных обследований населения в возрасте 15 - 72 лет по проблемам занятости с применением критериев Международной организации труда (далее - МОТ), численность рабочей силы в Новосибирской области в 2021 - 2023 годах варьировала от 1428,4 тыс. человек до 1386 тыс. человек: в 2021 году по сравнению с 2020 годом увеличилась на 2,7%, в 2022 - 2023 годах снизилась на 2,7% и на 0,3% соответственно.</w:t>
      </w:r>
    </w:p>
    <w:p>
      <w:pPr>
        <w:pStyle w:val="0"/>
        <w:spacing w:before="240"/>
        <w:ind w:firstLine="540"/>
        <w:jc w:val="both"/>
      </w:pPr>
      <w:r>
        <w:rPr>
          <w:sz w:val="24"/>
        </w:rPr>
        <w:t xml:space="preserve">Уровень участия в рабочей силе снизился с 67,8% от численности населения в возрасте 15 - 72 лет, участвовавшего в обследовании, до 66,1% соответственно.</w:t>
      </w:r>
    </w:p>
    <w:p>
      <w:pPr>
        <w:pStyle w:val="0"/>
        <w:spacing w:before="240"/>
        <w:ind w:firstLine="540"/>
        <w:jc w:val="both"/>
      </w:pPr>
      <w:r>
        <w:rPr>
          <w:sz w:val="24"/>
        </w:rPr>
        <w:t xml:space="preserve">В то же время в условиях демографических ограничений и снижения объема рабочей силы численность занятого населения в 2021 - 2023 годах изменялась с 1341 тыс. человек до 1338,7 тыс. человек: в 2021 и 2023 годах увеличилась на 3,3% и на 1,1% соответственно, в 2022 году снизилась на 1,2%. Уровень занятости населения за 2021 - 2023 годы увеличился с 63,7% до 63,9% соответственно.</w:t>
      </w:r>
    </w:p>
    <w:p>
      <w:pPr>
        <w:pStyle w:val="0"/>
        <w:spacing w:before="240"/>
        <w:ind w:firstLine="540"/>
        <w:jc w:val="both"/>
      </w:pPr>
      <w:r>
        <w:rPr>
          <w:sz w:val="24"/>
        </w:rPr>
        <w:t xml:space="preserve">Численность неработающих граждан, ищущих работу и готовых приступить к ней, рассчитанная по результатам выборочных обследований по методике МОТ, в 2023 году по сравнению с 2021 годом сократилась в 1,8 раза, доля безработных граждан по МОТ в численности рабочей силы уменьшилась с 6,1% до 3,4% соответственно.</w:t>
      </w:r>
    </w:p>
    <w:p>
      <w:pPr>
        <w:pStyle w:val="0"/>
        <w:spacing w:before="240"/>
        <w:ind w:firstLine="540"/>
        <w:jc w:val="both"/>
      </w:pPr>
      <w:r>
        <w:rPr>
          <w:sz w:val="24"/>
        </w:rPr>
        <w:t xml:space="preserve">Меры поддержки рынка труда, реализуемые в Новосибирской области, позволили в 2021 - 2023 годах в 3,2 раза сократить численность зарегистрированных в государственных учреждениях службы занятости населения безработных граждан: с 25,3 тыс. человек на конец 2021 года до 7,8 тыс. человек на конец 2023 года, снизить уровень зарегистрированной безработицы с 1,8% до 0,6% от численности рабочей силы соответственно.</w:t>
      </w:r>
    </w:p>
    <w:p>
      <w:pPr>
        <w:pStyle w:val="0"/>
        <w:spacing w:before="240"/>
        <w:ind w:firstLine="540"/>
        <w:jc w:val="both"/>
      </w:pPr>
      <w:r>
        <w:rPr>
          <w:sz w:val="24"/>
        </w:rPr>
        <w:t xml:space="preserve">Снижение уровня зарегистрированной безработицы и численности безработных граждан в Новосибирской области обусловлено последствиями "демографической ямы" 90-х годов, активным развитием производственного сектора экономики, в том числе задачами по выполнению государственного оборонного заказа, требующими дополнительных трудовых ресурсов.</w:t>
      </w:r>
    </w:p>
    <w:p>
      <w:pPr>
        <w:pStyle w:val="0"/>
        <w:spacing w:before="240"/>
        <w:ind w:firstLine="540"/>
        <w:jc w:val="both"/>
      </w:pPr>
      <w:r>
        <w:rPr>
          <w:sz w:val="24"/>
        </w:rPr>
        <w:t xml:space="preserve">За 2021 - 2023 годы работодателями, осуществляющими свою деятельность на территории Новосибирской области, в Общероссийскую базу вакансий "Работа в России" (далее - региональный банк вакансий) заявлено 314,5 тыс. вакансий, в том числе 108,1 тыс. вакансий заявлено в 2023 году. На конец 2023 года региональный банк вакансий содержал 41,6 тыс. вакансий, из которых более половины (58,2%) составляли вакансии рабочих профессий.</w:t>
      </w:r>
    </w:p>
    <w:p>
      <w:pPr>
        <w:pStyle w:val="0"/>
        <w:spacing w:before="240"/>
        <w:ind w:firstLine="540"/>
        <w:jc w:val="both"/>
      </w:pPr>
      <w:r>
        <w:rPr>
          <w:sz w:val="24"/>
        </w:rPr>
        <w:t xml:space="preserve">Коэффициент напряженности на рынке труда, характеризующийся как отношение численности незанятых граждан, зарегистрированных в государственных учреждениях службы занятости населения, к числу вакансий в 2021 - 2023 годах, варьировал от двух незанятых граждан на одну вакансию до 0,2. На конец 2023 года число вакансий в 5,3 раза превысило численность незанятых граждан, состоящих на учете в государственных учреждениях службы занятости населения.</w:t>
      </w:r>
    </w:p>
    <w:p>
      <w:pPr>
        <w:pStyle w:val="0"/>
        <w:spacing w:before="240"/>
        <w:ind w:firstLine="540"/>
        <w:jc w:val="both"/>
      </w:pPr>
      <w:r>
        <w:rPr>
          <w:sz w:val="24"/>
        </w:rPr>
        <w:t xml:space="preserve">В 2021 - 2022 годах среднесписочная численность работников организаций Новосибирской области варьировала от 900,7 тыс. человек до 908,1 тыс. человек: в 2021 году снизилась по сравнению с 2020 годом на 1%, в 2022 году по сравнению с 2021 годом увеличилась на 0,8%. В 2023 году среднесписочная численность работников сократилась на 0,3% и составила 905,1 тыс. человек.</w:t>
      </w:r>
    </w:p>
    <w:p>
      <w:pPr>
        <w:pStyle w:val="0"/>
        <w:spacing w:before="240"/>
        <w:ind w:firstLine="540"/>
        <w:jc w:val="both"/>
      </w:pPr>
      <w:r>
        <w:rPr>
          <w:sz w:val="24"/>
        </w:rPr>
        <w:t xml:space="preserve">Уменьшение среднесписочной численности работников отмечено в 12 видах экономической деятельности, из них в четырех видах экономической деятельности (сельское хозяйство, лесное хозяйство, охота, рыболовство и рыбоводство; добыча полезных ископаемых; обеспечение электрической энергией, газом и паром, кондиционирование воздуха; финансовая и страховая деятельность) снижение среднесписочной численности работников по сравнению с 2022 годом продолжилось.</w:t>
      </w:r>
    </w:p>
    <w:p>
      <w:pPr>
        <w:pStyle w:val="0"/>
        <w:spacing w:before="240"/>
        <w:ind w:firstLine="540"/>
        <w:jc w:val="both"/>
      </w:pPr>
      <w:r>
        <w:rPr>
          <w:sz w:val="24"/>
        </w:rPr>
        <w:t xml:space="preserve">Увеличилась среднесписочная численность работников в семи видах экономической деятельности, из них в трех видах деятельности (строительство, транспортировка и хранение; деятельность административная и сопутствующие дополнительные услуги) рост среднесписочной численности по сравнению с 2022 годом сохраняется. Наибольший рост среднесписочной численности работников отмечен в строительстве (122,3% к 2022 году), наибольшее снижение - в деятельности по операциям с недвижимым имуществом (75,2% к 2022 году).</w:t>
      </w:r>
    </w:p>
    <w:p>
      <w:pPr>
        <w:pStyle w:val="0"/>
        <w:spacing w:before="240"/>
        <w:ind w:firstLine="540"/>
        <w:jc w:val="both"/>
      </w:pPr>
      <w:r>
        <w:rPr>
          <w:sz w:val="24"/>
        </w:rPr>
        <w:t xml:space="preserve">В условиях восстановления рынка труда среднемесячная номинальная начисленная заработная плата работников организаций Новосибирской области в 2023 году составила 64188,7 рубля. Темп роста среднемесячной номинальной заработной платы в 2023 году (119,4%) сложился выше, чем в 2022 (116,4%) и 2021 (111,2%) годах. Рост заработной платы превысил рост потребительских цен, что обеспечило увеличение реальной заработной платы за 2021 - 2023 годы на 21,7% относительно 2020 года. В 2023 году рост среднемесячной номинальной начисленной заработной платы произошел во всех видах экономической деятельности, в пяти из них превысив средний рост по Новосибирской области (119,4% к уровню 2022 года).</w:t>
      </w:r>
    </w:p>
    <w:p>
      <w:pPr>
        <w:pStyle w:val="0"/>
        <w:spacing w:before="240"/>
        <w:ind w:firstLine="540"/>
        <w:jc w:val="both"/>
      </w:pPr>
      <w:r>
        <w:rPr>
          <w:sz w:val="24"/>
        </w:rPr>
        <w:t xml:space="preserve">Самый высокий уровень среднемесячной номинальной начисленной заработной платы в 2023 году сложился у работников, занятых деятельностью в области информации и связи (119224,2 рубля), самый низкий - у работников гостиничного бизнеса и общественного питания (38279,4 рубля).</w:t>
      </w:r>
    </w:p>
    <w:p>
      <w:pPr>
        <w:pStyle w:val="0"/>
        <w:spacing w:before="240"/>
        <w:ind w:firstLine="540"/>
        <w:jc w:val="both"/>
      </w:pPr>
      <w:r>
        <w:rPr>
          <w:sz w:val="24"/>
        </w:rPr>
        <w:t xml:space="preserve">Соотношение среднемесячной номинальной начисленной заработной платы с величиной прожиточного минимума трудоспособного населения в Новосибирской области в 2021 году составляло 353,7% (то есть на среднемесячную номинальную начисленную заработную плату приходилось 3,5 прожиточного минимума трудоспособного населения), за два года данное соотношение увеличилось и составило в 2023 году 399,8%.</w:t>
      </w:r>
    </w:p>
    <w:p>
      <w:pPr>
        <w:pStyle w:val="0"/>
        <w:spacing w:before="240"/>
        <w:ind w:firstLine="540"/>
        <w:jc w:val="both"/>
      </w:pPr>
      <w:r>
        <w:rPr>
          <w:sz w:val="24"/>
        </w:rPr>
        <w:t xml:space="preserve">В 2021 - 2023 годах зарегистрированная просроченная задолженность по выплате заработной платы в Новосибирской области характеризовалась значительным снижением: с 62 млн рублей на 1 января 2021 года до 145 тыс. рублей на 1 января 2024 года. При этом численность работников, перед которыми у организаций имелась просроченная задолженность по выплате заработной платы, сократилась с 618 человек до двух.</w:t>
      </w:r>
    </w:p>
    <w:p>
      <w:pPr>
        <w:pStyle w:val="0"/>
        <w:spacing w:before="240"/>
        <w:ind w:firstLine="540"/>
        <w:jc w:val="both"/>
      </w:pPr>
      <w:r>
        <w:rPr>
          <w:sz w:val="24"/>
        </w:rPr>
        <w:t xml:space="preserve">Имеющаяся на 1 января 2024 года просроченная задолженность по выплате заработной платы сложилась во внебюджетной организации строительной сферы из-за ее банкротства.</w:t>
      </w:r>
    </w:p>
    <w:p>
      <w:pPr>
        <w:pStyle w:val="0"/>
        <w:spacing w:before="240"/>
        <w:ind w:firstLine="540"/>
        <w:jc w:val="both"/>
      </w:pPr>
      <w:r>
        <w:rPr>
          <w:sz w:val="24"/>
        </w:rPr>
        <w:t xml:space="preserve">Демографическая ситуация в Новосибирской области в 2021 - 2023 годах характеризовалась следующей динамикой показателей.</w:t>
      </w:r>
    </w:p>
    <w:p>
      <w:pPr>
        <w:pStyle w:val="0"/>
        <w:spacing w:before="240"/>
        <w:ind w:firstLine="540"/>
        <w:jc w:val="both"/>
      </w:pPr>
      <w:r>
        <w:rPr>
          <w:sz w:val="24"/>
        </w:rPr>
        <w:t xml:space="preserve">В 2023 году по сравнению с 2021 годом численность родившихся сократилась с 28299 человек в 2021 году до 26022. Коэффициент рождаемости снизился с 10,2 промилле (родившихся на 1000 человек населения) до 9,3 соответственно.</w:t>
      </w:r>
    </w:p>
    <w:p>
      <w:pPr>
        <w:pStyle w:val="0"/>
        <w:spacing w:before="240"/>
        <w:ind w:firstLine="540"/>
        <w:jc w:val="both"/>
      </w:pPr>
      <w:r>
        <w:rPr>
          <w:sz w:val="24"/>
        </w:rPr>
        <w:t xml:space="preserve">Численность умерших уменьшилась с 47178 человек в 2021 году до 35690 человек в 2023 году. Коэффициент смертности снизился соответственно с 17 промилле (умерших на 1000 человек населения) до 12,8.</w:t>
      </w:r>
    </w:p>
    <w:p>
      <w:pPr>
        <w:pStyle w:val="0"/>
        <w:spacing w:before="240"/>
        <w:ind w:firstLine="540"/>
        <w:jc w:val="both"/>
      </w:pPr>
      <w:r>
        <w:rPr>
          <w:sz w:val="24"/>
        </w:rPr>
        <w:t xml:space="preserve">В результате динамики естественного движения населения численность умерших в 2023 году на 9668 человек превысила численность родившихся, в 2022 году - на 11612 человек, в 2021 году - на 18879 человек, что свидетельствует о замедлении процесса естественной убыли населения Новосибирской области.</w:t>
      </w:r>
    </w:p>
    <w:p>
      <w:pPr>
        <w:pStyle w:val="0"/>
        <w:spacing w:before="240"/>
        <w:ind w:firstLine="540"/>
        <w:jc w:val="both"/>
      </w:pPr>
      <w:r>
        <w:rPr>
          <w:sz w:val="24"/>
        </w:rPr>
        <w:t xml:space="preserve">На численность населения заметное влияние оказывают как процессы естественного движения населения, так и миграции. В 2023 году общий объем миграционного прироста населения по сравнению с 2021 годом снизился в 2,7 раза, составив 4959 человек (в 2022 году - 8373 человека, в 2021 году - 13372 человека). В 2023 году за счет международного обмена со странами Содружества Независимых Государств миграционный прирост составил 3585 человек.</w:t>
      </w:r>
    </w:p>
    <w:p>
      <w:pPr>
        <w:pStyle w:val="0"/>
        <w:spacing w:before="240"/>
        <w:ind w:firstLine="540"/>
        <w:jc w:val="both"/>
      </w:pPr>
      <w:r>
        <w:rPr>
          <w:sz w:val="24"/>
        </w:rPr>
        <w:t xml:space="preserve">Наибольший приток мигрантов в Новосибирскую область отмечен из Таджикистана (+1828 человек) и Казахстана (+1318 человек). В обмене со странами дальнего зарубежья сальдо миграционного прироста сложилось значительно ниже - 88 человек. Наибольший прирост в 2023 году сложился в миграционном обмене с Германией (+86 человек).</w:t>
      </w:r>
    </w:p>
    <w:p>
      <w:pPr>
        <w:pStyle w:val="0"/>
        <w:spacing w:before="240"/>
        <w:ind w:firstLine="540"/>
        <w:jc w:val="both"/>
      </w:pPr>
      <w:r>
        <w:rPr>
          <w:sz w:val="24"/>
        </w:rPr>
        <w:t xml:space="preserve">В то же время отмечен незначительный отток граждан Вьетнама (-15 человек), Китая (-3 человека) и Турции (-2 человека). В результате международной миграции население Новосибирской области увеличилось на 3673 человека и еще на 1286 человек - за счет межрегионального обмена.</w:t>
      </w:r>
    </w:p>
    <w:p>
      <w:pPr>
        <w:pStyle w:val="0"/>
        <w:spacing w:before="240"/>
        <w:ind w:firstLine="540"/>
        <w:jc w:val="both"/>
      </w:pPr>
      <w:r>
        <w:rPr>
          <w:sz w:val="24"/>
        </w:rPr>
        <w:t xml:space="preserve">Компенсация естественной убыли миграционным приростом в 2023 году уменьшилась до 51,3% (в 2022 году - 72,1%, в 2021 году - 70,8%), что обусловило дальнейшее снижение численности населения Новосибирской области.</w:t>
      </w:r>
    </w:p>
    <w:p>
      <w:pPr>
        <w:pStyle w:val="0"/>
        <w:spacing w:before="240"/>
        <w:ind w:firstLine="540"/>
        <w:jc w:val="both"/>
      </w:pPr>
      <w:r>
        <w:rPr>
          <w:sz w:val="24"/>
        </w:rPr>
        <w:t xml:space="preserve">За период с 2020 по 2023 годы в рамках реализации государственной </w:t>
      </w:r>
      <w:hyperlink r:id="rId43" w:tooltip="Постановление Правительства Новосибирской области от 06.08.2013 N 347-п (ред. от 31.03.2025) &quot;Об утверждении государственной программы Новосибирской области &quot;Оказание содействия добровольному переселению в Новосибирскую область соотечественников, проживающих за рубежом&quot; {КонсультантПлюс}" w:history="0">
        <w:r>
          <w:rPr>
            <w:color w:val="0000ff"/>
            <w:sz w:val="24"/>
          </w:rPr>
          <w:t xml:space="preserve">программы</w:t>
        </w:r>
      </w:hyperlink>
      <w:r>
        <w:rPr>
          <w:sz w:val="24"/>
        </w:rPr>
        <w:t xml:space="preserve"> Новосибирской области "Оказание содействия добровольному переселению в Новосибирскую область соотечественников, проживающих за рубежом" (далее - Программа), утвержденной постановлением Правительства Новосибирской области от 06.08.2013 N 347-п, в Новосибирскую область прибыло для проживания более 10 тыс. соотечественников из 11 стран мира, в том числе в 2023 году - 1873 соотечественника. По количеству прибывших соотечественников Новосибирская область стабильно занимает первое место среди регионов СФО.</w:t>
      </w:r>
    </w:p>
    <w:p>
      <w:pPr>
        <w:pStyle w:val="0"/>
        <w:spacing w:before="240"/>
        <w:ind w:firstLine="540"/>
        <w:jc w:val="both"/>
      </w:pPr>
      <w:r>
        <w:rPr>
          <w:sz w:val="24"/>
        </w:rPr>
        <w:t xml:space="preserve">Средний возраст участников Программы составляет 35 лет. По уровню образования 85% соотечественников имеют высшее или среднее профессиональное образование. Более 1000 человек - это студенты, обучающиеся в образовательных организациях Новосибирской области. Следует отметить прогрессивную демографическую структуру прибывших соотечественников: 70% - это трудоспособные граждане.</w:t>
      </w:r>
    </w:p>
    <w:p>
      <w:pPr>
        <w:pStyle w:val="0"/>
        <w:spacing w:before="240"/>
        <w:ind w:firstLine="540"/>
        <w:jc w:val="both"/>
      </w:pPr>
      <w:r>
        <w:rPr>
          <w:sz w:val="24"/>
        </w:rPr>
        <w:t xml:space="preserve">Участники Программы трудятся на предприятиях торговли, в образовательных организациях, заняты в обрабатывающих производствах, строительстве, в организациях, предоставляющих коммунальные, социальные и персональные услуги. Основные причины переезда - возвращение на историческую родину, общность интересов, приверженность русским традициям, воссоединение с родственниками, а также перспективы для трудоустройства и обучения детей.</w:t>
      </w:r>
    </w:p>
    <w:p>
      <w:pPr>
        <w:pStyle w:val="0"/>
        <w:spacing w:before="240"/>
        <w:ind w:firstLine="540"/>
        <w:jc w:val="both"/>
      </w:pPr>
      <w:r>
        <w:rPr>
          <w:sz w:val="24"/>
        </w:rPr>
        <w:t xml:space="preserve">За 2021 - 2023 годы среднегодовая численность населения Новосибирской области суммарно снизилась на 104 человека (в 2023 году и 2021 году снизилась на 4 тыс. человек и 339 человек соответственно, в 2022 году с учетом итогов Всероссийской переписи населения 2020 года увеличилась на 4,2 тыс. человек).</w:t>
      </w:r>
    </w:p>
    <w:p>
      <w:pPr>
        <w:pStyle w:val="0"/>
        <w:spacing w:before="240"/>
        <w:ind w:firstLine="540"/>
        <w:jc w:val="both"/>
      </w:pPr>
      <w:r>
        <w:rPr>
          <w:sz w:val="24"/>
        </w:rPr>
        <w:t xml:space="preserve">На 1 января 2024 года численность населения Новосибирской области составила 2789,5 тыс. человек, что на 4,7 тыс. человек (на 0,2%) меньше, чем на 1 января 2023 года.</w:t>
      </w:r>
    </w:p>
    <w:p>
      <w:pPr>
        <w:pStyle w:val="0"/>
        <w:spacing w:before="240"/>
        <w:ind w:firstLine="540"/>
        <w:jc w:val="both"/>
      </w:pPr>
      <w:r>
        <w:rPr>
          <w:sz w:val="24"/>
        </w:rPr>
        <w:t xml:space="preserve">Численность наиболее экономически активной части населения - населения в трудоспособном возрасте является определяющим показателем для оценки обеспеченности региона трудовыми ресурсами. Численность населения Новосибирской области в трудоспособном возрасте на 1 января 2020 года по сравнению с 1 января 2019 года увеличилась на 1,7% и составила 1581,9 тыс. человек, что обусловлено расширением границ трудоспособного возраста в связи с изменениями параметров пенсионной системы. Доля населения в трудоспособном возрасте в общей численности населения увеличилась с 55,7% до 56,5% соответственно, а коэффициент демографической нагрузки на трудоспособное население уменьшился - на 1000 человек трудоспособного населения приходилось 769 человек моложе и старше трудоспособного возраста (на 1 января 2019 года - 795 человек). На 1 января 2023 года численность населения в трудоспособном возрасте составила 1585,3 человека, что на 0,8% ниже по сравнению с 1 января 2022 года, но выше на 0,2% значения показателя по состоянию на 1 января 2020 года. Коэффициент демографической нагрузки на трудоспособное население в сравнении с 1 января 2022 года снизился до 763 человек.</w:t>
      </w:r>
    </w:p>
    <w:p>
      <w:pPr>
        <w:pStyle w:val="0"/>
        <w:spacing w:before="240"/>
        <w:ind w:firstLine="540"/>
        <w:jc w:val="both"/>
      </w:pPr>
      <w:r>
        <w:rPr>
          <w:sz w:val="24"/>
        </w:rPr>
        <w:t xml:space="preserve">Ожидаемая продолжительность жизни при рождении на 1 января 2023 года в среднем по Новосибирской области составила 71,49 года, варьируя у мужчин и у женщин, соответственно 65,71 года и 77,14 года, городского и сельского населения, соответственно 72,16 года и 68,83 года. По сравнению с 1 января 2021 года ожидаемая продолжительность жизни при рождении по указанным категориям увеличилась: у мужчин на 0,55 года, женщин - на 1,72 года, городского населения - на 3,26 года, сельского населения - на 0,53 года. Годовой прирост в целом по Новосибирской области составил 1,17 года.</w:t>
      </w:r>
    </w:p>
    <w:p>
      <w:pPr>
        <w:pStyle w:val="0"/>
        <w:spacing w:before="240"/>
        <w:ind w:firstLine="540"/>
        <w:jc w:val="both"/>
      </w:pPr>
      <w:r>
        <w:rPr>
          <w:sz w:val="24"/>
        </w:rPr>
        <w:t xml:space="preserve">Позитивная динамика основных экономических показателей Новосибирской области обеспечила увеличение денежных доходов населения. За 2021 - 2023 годы среднедушевые денежные доходы населения Новосибирской области увеличились в 1,6 раза (с 31439,8 рубля в 2020 году до 49347,4 рубля в 2023 году). Индекс реальных денежных доходов в 2023 году к уровню 2020 года составил 122,8%, реальных располагаемых денежных доходов - 124,4%.</w:t>
      </w:r>
    </w:p>
    <w:p>
      <w:pPr>
        <w:pStyle w:val="0"/>
        <w:spacing w:before="240"/>
        <w:ind w:firstLine="540"/>
        <w:jc w:val="both"/>
      </w:pPr>
      <w:r>
        <w:rPr>
          <w:sz w:val="24"/>
        </w:rPr>
        <w:t xml:space="preserve">В структуре денежных доходов населения Новосибирской области, приведенной в </w:t>
      </w:r>
      <w:hyperlink w:tooltip="Структура денежных доходов населения Новосибирской области" w:anchor="P103" w:history="0">
        <w:r>
          <w:rPr>
            <w:color w:val="0000ff"/>
            <w:sz w:val="24"/>
          </w:rPr>
          <w:t xml:space="preserve">таблице 1</w:t>
        </w:r>
      </w:hyperlink>
      <w:r>
        <w:rPr>
          <w:sz w:val="24"/>
        </w:rPr>
        <w:t xml:space="preserve">, складывающихся в основном из заработной платы и социальных выплат, доля заработной платы составила в 2023 году 66%, социальных выплат - 21,2%. По сравнению с 2021 годом доля заработной платы в доходах увеличилась на 0,9 процентного пункта при снижении доли социальных выплат на 2,3 процентного пункта.</w:t>
      </w:r>
    </w:p>
    <w:p>
      <w:pPr>
        <w:pStyle w:val="0"/>
        <w:spacing w:before="240"/>
        <w:ind w:firstLine="540"/>
        <w:jc w:val="both"/>
      </w:pPr>
      <w:r>
        <w:rPr>
          <w:sz w:val="24"/>
        </w:rPr>
        <w:t xml:space="preserve">Важным источником доходов населения также являются доходы от предпринимательской деятельности. В 2023 году доля таких доходов по сравнению с 2021 годом увеличилась на 2 процентных пункта, составив 8,6%. Тогда как доля доходов от собственности сократилась на 0,6 процентного пункта, составив в 2023 году в денежных доходах 4,2%.</w:t>
      </w:r>
    </w:p>
    <w:p>
      <w:pPr>
        <w:pStyle w:val="0"/>
        <w:ind w:firstLine="540"/>
        <w:jc w:val="both"/>
      </w:pPr>
      <w:r>
        <w:rPr>
          <w:sz w:val="24"/>
        </w:rPr>
      </w:r>
    </w:p>
    <w:p>
      <w:pPr>
        <w:pStyle w:val="0"/>
        <w:jc w:val="right"/>
        <w:outlineLvl w:val="2"/>
      </w:pPr>
      <w:r>
        <w:rPr>
          <w:sz w:val="24"/>
        </w:rPr>
        <w:t xml:space="preserve">Таблица 1</w:t>
      </w:r>
    </w:p>
    <w:p>
      <w:pPr>
        <w:pStyle w:val="0"/>
        <w:ind w:firstLine="540"/>
        <w:jc w:val="both"/>
      </w:pPr>
      <w:r>
        <w:rPr>
          <w:sz w:val="24"/>
        </w:rPr>
      </w:r>
    </w:p>
    <w:bookmarkStart w:id="103" w:name="P103"/>
    <w:bookmarkEnd w:id="103"/>
    <w:p>
      <w:pPr>
        <w:pStyle w:val="2"/>
        <w:jc w:val="center"/>
      </w:pPr>
      <w:r>
        <w:rPr>
          <w:sz w:val="24"/>
        </w:rPr>
        <w:t xml:space="preserve">Структура денежных доходов населения Новосибирской области</w:t>
      </w:r>
    </w:p>
    <w:p>
      <w:pPr>
        <w:pStyle w:val="0"/>
        <w:ind w:firstLine="54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704"/>
        <w:gridCol w:w="1418"/>
        <w:gridCol w:w="1417"/>
        <w:gridCol w:w="2268"/>
        <w:gridCol w:w="1531"/>
        <w:gridCol w:w="1701"/>
      </w:tblGrid>
      <w:tr>
        <w:tc>
          <w:tcPr>
            <w:tcW w:w="704" w:type="dxa"/>
            <w:vMerge w:val="restart"/>
          </w:tcPr>
          <w:p>
            <w:pPr>
              <w:pStyle w:val="0"/>
              <w:jc w:val="center"/>
            </w:pPr>
            <w:r>
              <w:rPr>
                <w:sz w:val="24"/>
              </w:rPr>
              <w:t xml:space="preserve">Годы</w:t>
            </w:r>
          </w:p>
        </w:tc>
        <w:tc>
          <w:tcPr>
            <w:tcW w:w="1418" w:type="dxa"/>
            <w:vMerge w:val="restart"/>
          </w:tcPr>
          <w:p>
            <w:pPr>
              <w:pStyle w:val="0"/>
              <w:jc w:val="center"/>
            </w:pPr>
            <w:r>
              <w:rPr>
                <w:sz w:val="24"/>
              </w:rPr>
              <w:t xml:space="preserve">Всего денежных доходов, %</w:t>
            </w:r>
          </w:p>
        </w:tc>
        <w:tc>
          <w:tcPr>
            <w:tcW w:w="6917" w:type="dxa"/>
            <w:gridSpan w:val="4"/>
          </w:tcPr>
          <w:p>
            <w:pPr>
              <w:pStyle w:val="0"/>
              <w:jc w:val="center"/>
            </w:pPr>
            <w:r>
              <w:rPr>
                <w:sz w:val="24"/>
              </w:rPr>
              <w:t xml:space="preserve">в том числе</w:t>
            </w:r>
          </w:p>
        </w:tc>
      </w:tr>
      <w:tr>
        <w:tc>
          <w:tcPr>
            <w:vMerge w:val="continue"/>
          </w:tcPr>
          <w:p/>
        </w:tc>
        <w:tc>
          <w:tcPr>
            <w:vMerge w:val="continue"/>
          </w:tcPr>
          <w:p/>
        </w:tc>
        <w:tc>
          <w:tcPr>
            <w:tcW w:w="1417" w:type="dxa"/>
          </w:tcPr>
          <w:p>
            <w:pPr>
              <w:pStyle w:val="0"/>
              <w:jc w:val="center"/>
            </w:pPr>
            <w:r>
              <w:rPr>
                <w:sz w:val="24"/>
              </w:rPr>
              <w:t xml:space="preserve">оплата труда, в %</w:t>
            </w:r>
          </w:p>
        </w:tc>
        <w:tc>
          <w:tcPr>
            <w:tcW w:w="2268" w:type="dxa"/>
          </w:tcPr>
          <w:p>
            <w:pPr>
              <w:pStyle w:val="0"/>
              <w:jc w:val="center"/>
            </w:pPr>
            <w:r>
              <w:rPr>
                <w:sz w:val="24"/>
              </w:rPr>
              <w:t xml:space="preserve">доходы от предпринимательской деятельности, в %</w:t>
            </w:r>
          </w:p>
        </w:tc>
        <w:tc>
          <w:tcPr>
            <w:tcW w:w="1531" w:type="dxa"/>
          </w:tcPr>
          <w:p>
            <w:pPr>
              <w:pStyle w:val="0"/>
              <w:jc w:val="center"/>
            </w:pPr>
            <w:r>
              <w:rPr>
                <w:sz w:val="24"/>
              </w:rPr>
              <w:t xml:space="preserve">социальные выплаты, в %</w:t>
            </w:r>
          </w:p>
        </w:tc>
        <w:tc>
          <w:tcPr>
            <w:tcW w:w="1701" w:type="dxa"/>
          </w:tcPr>
          <w:p>
            <w:pPr>
              <w:pStyle w:val="0"/>
              <w:jc w:val="center"/>
            </w:pPr>
            <w:r>
              <w:rPr>
                <w:sz w:val="24"/>
              </w:rPr>
              <w:t xml:space="preserve">доходы от собственности, в %</w:t>
            </w:r>
          </w:p>
        </w:tc>
      </w:tr>
      <w:tr>
        <w:tc>
          <w:tcPr>
            <w:tcW w:w="704" w:type="dxa"/>
          </w:tcPr>
          <w:p>
            <w:pPr>
              <w:pStyle w:val="0"/>
              <w:jc w:val="center"/>
            </w:pPr>
            <w:r>
              <w:rPr>
                <w:sz w:val="24"/>
              </w:rPr>
              <w:t xml:space="preserve">2021</w:t>
            </w:r>
          </w:p>
        </w:tc>
        <w:tc>
          <w:tcPr>
            <w:tcW w:w="1418" w:type="dxa"/>
          </w:tcPr>
          <w:p>
            <w:pPr>
              <w:pStyle w:val="0"/>
              <w:jc w:val="center"/>
            </w:pPr>
            <w:r>
              <w:rPr>
                <w:sz w:val="24"/>
              </w:rPr>
              <w:t xml:space="preserve">100,0</w:t>
            </w:r>
          </w:p>
        </w:tc>
        <w:tc>
          <w:tcPr>
            <w:tcW w:w="1417" w:type="dxa"/>
          </w:tcPr>
          <w:p>
            <w:pPr>
              <w:pStyle w:val="0"/>
              <w:jc w:val="center"/>
            </w:pPr>
            <w:r>
              <w:rPr>
                <w:sz w:val="24"/>
              </w:rPr>
              <w:t xml:space="preserve">65,1</w:t>
            </w:r>
          </w:p>
        </w:tc>
        <w:tc>
          <w:tcPr>
            <w:tcW w:w="2268" w:type="dxa"/>
          </w:tcPr>
          <w:p>
            <w:pPr>
              <w:pStyle w:val="0"/>
              <w:jc w:val="center"/>
            </w:pPr>
            <w:r>
              <w:rPr>
                <w:sz w:val="24"/>
              </w:rPr>
              <w:t xml:space="preserve">6,6</w:t>
            </w:r>
          </w:p>
        </w:tc>
        <w:tc>
          <w:tcPr>
            <w:tcW w:w="1531" w:type="dxa"/>
          </w:tcPr>
          <w:p>
            <w:pPr>
              <w:pStyle w:val="0"/>
              <w:jc w:val="center"/>
            </w:pPr>
            <w:r>
              <w:rPr>
                <w:sz w:val="24"/>
              </w:rPr>
              <w:t xml:space="preserve">23,5</w:t>
            </w:r>
          </w:p>
        </w:tc>
        <w:tc>
          <w:tcPr>
            <w:tcW w:w="1701" w:type="dxa"/>
          </w:tcPr>
          <w:p>
            <w:pPr>
              <w:pStyle w:val="0"/>
              <w:jc w:val="center"/>
            </w:pPr>
            <w:r>
              <w:rPr>
                <w:sz w:val="24"/>
              </w:rPr>
              <w:t xml:space="preserve">4,8</w:t>
            </w:r>
          </w:p>
        </w:tc>
      </w:tr>
      <w:tr>
        <w:tc>
          <w:tcPr>
            <w:tcW w:w="704" w:type="dxa"/>
          </w:tcPr>
          <w:p>
            <w:pPr>
              <w:pStyle w:val="0"/>
              <w:jc w:val="center"/>
            </w:pPr>
            <w:r>
              <w:rPr>
                <w:sz w:val="24"/>
              </w:rPr>
              <w:t xml:space="preserve">2022</w:t>
            </w:r>
          </w:p>
        </w:tc>
        <w:tc>
          <w:tcPr>
            <w:tcW w:w="1418" w:type="dxa"/>
          </w:tcPr>
          <w:p>
            <w:pPr>
              <w:pStyle w:val="0"/>
              <w:jc w:val="center"/>
            </w:pPr>
            <w:r>
              <w:rPr>
                <w:sz w:val="24"/>
              </w:rPr>
              <w:t xml:space="preserve">100,0</w:t>
            </w:r>
          </w:p>
        </w:tc>
        <w:tc>
          <w:tcPr>
            <w:tcW w:w="1417" w:type="dxa"/>
          </w:tcPr>
          <w:p>
            <w:pPr>
              <w:pStyle w:val="0"/>
              <w:jc w:val="center"/>
            </w:pPr>
            <w:r>
              <w:rPr>
                <w:sz w:val="24"/>
              </w:rPr>
              <w:t xml:space="preserve">64,9</w:t>
            </w:r>
          </w:p>
        </w:tc>
        <w:tc>
          <w:tcPr>
            <w:tcW w:w="2268" w:type="dxa"/>
          </w:tcPr>
          <w:p>
            <w:pPr>
              <w:pStyle w:val="0"/>
              <w:jc w:val="center"/>
            </w:pPr>
            <w:r>
              <w:rPr>
                <w:sz w:val="24"/>
              </w:rPr>
              <w:t xml:space="preserve">7,9</w:t>
            </w:r>
          </w:p>
        </w:tc>
        <w:tc>
          <w:tcPr>
            <w:tcW w:w="1531" w:type="dxa"/>
          </w:tcPr>
          <w:p>
            <w:pPr>
              <w:pStyle w:val="0"/>
              <w:jc w:val="center"/>
            </w:pPr>
            <w:r>
              <w:rPr>
                <w:sz w:val="24"/>
              </w:rPr>
              <w:t xml:space="preserve">22,9</w:t>
            </w:r>
          </w:p>
        </w:tc>
        <w:tc>
          <w:tcPr>
            <w:tcW w:w="1701" w:type="dxa"/>
          </w:tcPr>
          <w:p>
            <w:pPr>
              <w:pStyle w:val="0"/>
              <w:jc w:val="center"/>
            </w:pPr>
            <w:r>
              <w:rPr>
                <w:sz w:val="24"/>
              </w:rPr>
              <w:t xml:space="preserve">4,3</w:t>
            </w:r>
          </w:p>
        </w:tc>
      </w:tr>
      <w:tr>
        <w:tc>
          <w:tcPr>
            <w:tcW w:w="704" w:type="dxa"/>
          </w:tcPr>
          <w:p>
            <w:pPr>
              <w:pStyle w:val="0"/>
              <w:jc w:val="center"/>
            </w:pPr>
            <w:r>
              <w:rPr>
                <w:sz w:val="24"/>
              </w:rPr>
              <w:t xml:space="preserve">2023</w:t>
            </w:r>
          </w:p>
        </w:tc>
        <w:tc>
          <w:tcPr>
            <w:tcW w:w="1418" w:type="dxa"/>
          </w:tcPr>
          <w:p>
            <w:pPr>
              <w:pStyle w:val="0"/>
              <w:jc w:val="center"/>
            </w:pPr>
            <w:r>
              <w:rPr>
                <w:sz w:val="24"/>
              </w:rPr>
              <w:t xml:space="preserve">100,0</w:t>
            </w:r>
          </w:p>
        </w:tc>
        <w:tc>
          <w:tcPr>
            <w:tcW w:w="1417" w:type="dxa"/>
          </w:tcPr>
          <w:p>
            <w:pPr>
              <w:pStyle w:val="0"/>
              <w:jc w:val="center"/>
            </w:pPr>
            <w:r>
              <w:rPr>
                <w:sz w:val="24"/>
              </w:rPr>
              <w:t xml:space="preserve">66,0</w:t>
            </w:r>
          </w:p>
        </w:tc>
        <w:tc>
          <w:tcPr>
            <w:tcW w:w="2268" w:type="dxa"/>
          </w:tcPr>
          <w:p>
            <w:pPr>
              <w:pStyle w:val="0"/>
              <w:jc w:val="center"/>
            </w:pPr>
            <w:r>
              <w:rPr>
                <w:sz w:val="24"/>
              </w:rPr>
              <w:t xml:space="preserve">8,6</w:t>
            </w:r>
          </w:p>
        </w:tc>
        <w:tc>
          <w:tcPr>
            <w:tcW w:w="1531" w:type="dxa"/>
          </w:tcPr>
          <w:p>
            <w:pPr>
              <w:pStyle w:val="0"/>
              <w:jc w:val="center"/>
            </w:pPr>
            <w:r>
              <w:rPr>
                <w:sz w:val="24"/>
              </w:rPr>
              <w:t xml:space="preserve">21,2</w:t>
            </w:r>
          </w:p>
        </w:tc>
        <w:tc>
          <w:tcPr>
            <w:tcW w:w="1701" w:type="dxa"/>
          </w:tcPr>
          <w:p>
            <w:pPr>
              <w:pStyle w:val="0"/>
              <w:jc w:val="center"/>
            </w:pPr>
            <w:r>
              <w:rPr>
                <w:sz w:val="24"/>
              </w:rPr>
              <w:t xml:space="preserve">4,2</w:t>
            </w:r>
          </w:p>
        </w:tc>
      </w:tr>
    </w:tbl>
    <w:p>
      <w:pPr>
        <w:pStyle w:val="0"/>
        <w:ind w:firstLine="540"/>
        <w:jc w:val="both"/>
      </w:pPr>
      <w:r>
        <w:rPr>
          <w:sz w:val="24"/>
        </w:rPr>
      </w:r>
    </w:p>
    <w:p>
      <w:pPr>
        <w:pStyle w:val="0"/>
        <w:ind w:firstLine="540"/>
        <w:jc w:val="both"/>
      </w:pPr>
      <w:r>
        <w:rPr>
          <w:sz w:val="24"/>
        </w:rPr>
        <w:t xml:space="preserve">Соотношение среднедушевых денежных доходов населения с величиной прожиточного минимума в Новосибирской области, характеризующее покупательную способность денежных доходов, в 2021 году составляло 285,5% (то есть на среднедушевой доход приходилось 2,9 прожиточного минимума на душу населения), данное соотношение увеличилось до 335,1% в 2023 году.</w:t>
      </w:r>
    </w:p>
    <w:p>
      <w:pPr>
        <w:pStyle w:val="0"/>
        <w:spacing w:before="240"/>
        <w:ind w:firstLine="540"/>
        <w:jc w:val="both"/>
      </w:pPr>
      <w:r>
        <w:rPr>
          <w:sz w:val="24"/>
        </w:rPr>
        <w:t xml:space="preserve">В Новосибирской области средний размер назначенных пенсий увеличился с 16572,1 рубля на 1 января 2022 года до 20436,7 рубля на 1 января 2024 года. За три года средний размер пенсии увеличился на 32,2% к уровню 1 января 2021 года, ее реальный размер - на 0,9%.</w:t>
      </w:r>
    </w:p>
    <w:p>
      <w:pPr>
        <w:pStyle w:val="0"/>
        <w:spacing w:before="240"/>
        <w:ind w:firstLine="540"/>
        <w:jc w:val="both"/>
      </w:pPr>
      <w:r>
        <w:rPr>
          <w:sz w:val="24"/>
        </w:rPr>
        <w:t xml:space="preserve">В составе страховой пенсии на 1 января 2024 года пенсия по старости увеличилась по сравнению с 1 января 2023 года на 8,4% и составила 21881,8 рубля, по инвалидности - на 8,5% (13475,3 рубля), по случаю потери кормильца - на 9,5% (15221,9 рубля). Выплаты в виде социальной пенсии выросли на 3,5% и составили в среднем по Новосибирской области 12793,6 рубля на человека. При этом размер прибавки к пенсии у каждого пенсионера сложился индивидуальный в зависимости от суммы получаемой пенсии. Несмотря на индексацию пенсии, ее покупательная способность третий год сохраняется на уровне 1,6 наборов величины прожиточного минимума пенсионера.</w:t>
      </w:r>
    </w:p>
    <w:p>
      <w:pPr>
        <w:pStyle w:val="0"/>
        <w:spacing w:before="240"/>
        <w:ind w:firstLine="540"/>
        <w:jc w:val="both"/>
      </w:pPr>
      <w:r>
        <w:rPr>
          <w:sz w:val="24"/>
        </w:rPr>
        <w:t xml:space="preserve">Для оценки уровня жизни населения и проведения социальной политики используется величина прожиточного минимума. С 1 января 2021 года с учетом изменения подходов величина прожиточного минимума рассчитывается в соответствии с </w:t>
      </w:r>
      <w:hyperlink r:id="rId44" w:tooltip="Постановление Правительства РФ от 26.06.2021 N 1022 (ред. от 25.02.2025) &quot;Об утверждении Правил установления величины прожиточного минимума на душу населения и по основным социально-демографическим группам населения в субъектах Российской Федерации на очередной год&quot; {КонсультантПлюс}" w:history="0">
        <w:r>
          <w:rPr>
            <w:color w:val="0000ff"/>
            <w:sz w:val="24"/>
          </w:rPr>
          <w:t xml:space="preserve">Правилами</w:t>
        </w:r>
      </w:hyperlink>
      <w:r>
        <w:rPr>
          <w:sz w:val="24"/>
        </w:rPr>
        <w:t xml:space="preserve"> установления величины прожиточного минимума на душу населения и по основным социально-демографическим группам населения в субъектах Российской Федерации на очередной год, утвержденными Постановлением Правительства Российской Федерации от 26.06.2021 N 1022, с учетом коэффициента региональной дифференциации.</w:t>
      </w:r>
    </w:p>
    <w:p>
      <w:pPr>
        <w:pStyle w:val="0"/>
        <w:spacing w:before="240"/>
        <w:ind w:firstLine="540"/>
        <w:jc w:val="both"/>
      </w:pPr>
      <w:r>
        <w:rPr>
          <w:sz w:val="24"/>
        </w:rPr>
        <w:t xml:space="preserve">В соответствии с </w:t>
      </w:r>
      <w:hyperlink r:id="rId45" w:tooltip="Постановление Правительства Новосибирской области от 13.12.2022 N 589-п &quot;О прожиточном минимуме в Новосибирской области на 2023 год&quot; {КонсультантПлюс}" w:history="0">
        <w:r>
          <w:rPr>
            <w:color w:val="0000ff"/>
            <w:sz w:val="24"/>
          </w:rPr>
          <w:t xml:space="preserve">постановлением</w:t>
        </w:r>
      </w:hyperlink>
      <w:r>
        <w:rPr>
          <w:sz w:val="24"/>
        </w:rPr>
        <w:t xml:space="preserve"> Правительства Новосибирской области от 13.12.2022 N 589-п "О прожиточном минимуме в Новосибирской области на 2023 год" величина прожиточного минимума на душу населения составила 14728 рублей, для трудоспособного населения - 16054 рубля, для пенсионеров - 12666 рублей, для детей - 15261 рубль, увеличившись по сравнению с 2021 годом на 19,9%, на 23%, на 22% и на 19,9% соответственно.</w:t>
      </w:r>
    </w:p>
    <w:p>
      <w:pPr>
        <w:pStyle w:val="0"/>
        <w:spacing w:before="240"/>
        <w:ind w:firstLine="540"/>
        <w:jc w:val="both"/>
      </w:pPr>
      <w:r>
        <w:rPr>
          <w:sz w:val="24"/>
        </w:rPr>
        <w:t xml:space="preserve">Граница бедности в Новосибирской области, рассчитанная в соответствии с </w:t>
      </w:r>
      <w:hyperlink r:id="rId46" w:tooltip="Постановление Правительства РФ от 26.11.2021 N 2049 (ред. от 16.12.2023) &quot;Об утверждении Правил определения границ бедности в целом по Российской Федерации и по субъектам Российской Федерации, используемых в оценках показателя &quot;Уровень бедности&quot; в целом по Российской Федерации и по субъектам Российской Федерации, и о внесении изменений в Федеральный план статистических работ&quot; {КонсультантПлюс}" w:history="0">
        <w:r>
          <w:rPr>
            <w:color w:val="0000ff"/>
            <w:sz w:val="24"/>
          </w:rPr>
          <w:t xml:space="preserve">постановлением</w:t>
        </w:r>
      </w:hyperlink>
      <w:r>
        <w:rPr>
          <w:sz w:val="24"/>
        </w:rPr>
        <w:t xml:space="preserve"> Правительства Российской Федерации от 26.11.2021 N 2049 "Об утверждении правил определения границ бедности в целом по Российской Федерации и по субъектам Российской Федерации, используемых в оценках показателя "уровень бедности" в целом по Российской Федерации и по субъектам Российской Федерации, и о внесении изменений в федеральный план статистических работ", составляла в 2023 году на душу населения 14852 рубля, для трудоспособного населения - 15797 рублей, для пенсионеров - 11958 рублей, для детей - 15219 рублей. По сравнению с 2021 годом граница бедности на душу населения увеличилась на 2416 рублей, для трудоспособного населения - на 2570 рублей, пенсионеров - на 1945 рублей, детей - на 2476 рублей.</w:t>
      </w:r>
    </w:p>
    <w:p>
      <w:pPr>
        <w:pStyle w:val="0"/>
        <w:spacing w:before="240"/>
        <w:ind w:firstLine="540"/>
        <w:jc w:val="both"/>
      </w:pPr>
      <w:r>
        <w:rPr>
          <w:sz w:val="24"/>
        </w:rPr>
        <w:t xml:space="preserve">Состояние экономики Новосибирской области в 2021 - 2023 годах характеризовалось ростом валового регионального продукта Новосибирской области, наращиванием объемов промышленного производства и сельского хозяйства. Отмечена положительная динамика спроса на товары и услуги.</w:t>
      </w:r>
    </w:p>
    <w:p>
      <w:pPr>
        <w:pStyle w:val="0"/>
        <w:spacing w:before="240"/>
        <w:ind w:firstLine="540"/>
        <w:jc w:val="both"/>
      </w:pPr>
      <w:r>
        <w:rPr>
          <w:sz w:val="24"/>
        </w:rPr>
        <w:t xml:space="preserve">Ситуация на официальном рынке труда характеризовалась стабилизационными процессами, обеспеченными снижением численности безработных, зарегистрированных в государственных учреждениях службы занятости населения, и уровня зарегистрированной безработицы, увеличением числа вакантных рабочих мест в организациях Новосибирской области.</w:t>
      </w:r>
    </w:p>
    <w:p>
      <w:pPr>
        <w:pStyle w:val="0"/>
        <w:spacing w:before="240"/>
        <w:ind w:firstLine="540"/>
        <w:jc w:val="both"/>
      </w:pPr>
      <w:r>
        <w:rPr>
          <w:sz w:val="24"/>
        </w:rPr>
        <w:t xml:space="preserve">Продолжился рост реальных располагаемых и номинальных денежных доходов населения, номинальной и реальной заработной платы и пенсии. Отмечен рост покупательной способности денежных доходов, включая заработную плату. Значительно уменьшилась сумма зарегистрированной просроченной задолженности по выплате заработной платы. Снизилась смертность и естественная убыль населения.</w:t>
      </w:r>
    </w:p>
    <w:p>
      <w:pPr>
        <w:pStyle w:val="0"/>
        <w:spacing w:before="240"/>
        <w:ind w:firstLine="540"/>
        <w:jc w:val="both"/>
      </w:pPr>
      <w:r>
        <w:rPr>
          <w:sz w:val="24"/>
        </w:rPr>
        <w:t xml:space="preserve">В то же время наблюдается уменьшение среднесписочной численности работников организаций. На конец 2023 года отмечено снижение реального размера пенсии. В возрастной структуре продолжился процесс увеличения населения старше трудоспособного возраста, что в большей степени влияет на усиление нагрузки на трудоспособное население. Уменьшилась рождаемость и миграционный прирост, снизилась компенсация естественной убыли миграционным приростом, продолжилось сокращение общей численности населения.</w:t>
      </w:r>
    </w:p>
    <w:p>
      <w:pPr>
        <w:pStyle w:val="0"/>
        <w:spacing w:before="240"/>
        <w:ind w:firstLine="540"/>
        <w:jc w:val="both"/>
      </w:pPr>
      <w:r>
        <w:rPr>
          <w:sz w:val="24"/>
        </w:rPr>
        <w:t xml:space="preserve">2. Информация о ситуации с бедностью в Новосибирской области.</w:t>
      </w:r>
    </w:p>
    <w:p>
      <w:pPr>
        <w:pStyle w:val="0"/>
        <w:spacing w:before="240"/>
        <w:ind w:firstLine="540"/>
        <w:jc w:val="both"/>
      </w:pPr>
      <w:r>
        <w:rPr>
          <w:sz w:val="24"/>
        </w:rPr>
        <w:t xml:space="preserve">Распределение населения Новосибирской области по величине среднедушевых денежных доходов в 2021 - 2023 годах характеризовалось уменьшением долей населения с доходами до 7000 рублей (с 2,6% до 0,9%), от 7000,1 рубля до 10000 рублей (с 4,9% до 2,3%), от 10000,1 рубля до 14000 рублей (с 9,3% до 5,1%), от 14000,1 рубля до 19000 рублей (с 13,1% до 8,5%), от 19000,1 рубля до 27000 рублей (с 19% до 14,9%).</w:t>
      </w:r>
    </w:p>
    <w:p>
      <w:pPr>
        <w:pStyle w:val="0"/>
        <w:spacing w:before="240"/>
        <w:ind w:firstLine="540"/>
        <w:jc w:val="both"/>
      </w:pPr>
      <w:r>
        <w:rPr>
          <w:sz w:val="24"/>
        </w:rPr>
        <w:t xml:space="preserve">В то же время заметное увеличение отмечено по группам населения со среднедушевым денежным доходом в месяц от 27000,1 рубля до 45000 рублей (с 26,9% до 27,5%), от 45000,1 рубля до 60000 рублей (с 10,8% до 14,4%), свыше 60000 рублей (с 13,4% до 26,4%).</w:t>
      </w:r>
    </w:p>
    <w:p>
      <w:pPr>
        <w:pStyle w:val="0"/>
        <w:spacing w:before="240"/>
        <w:ind w:firstLine="540"/>
        <w:jc w:val="both"/>
      </w:pPr>
      <w:r>
        <w:rPr>
          <w:sz w:val="24"/>
        </w:rPr>
        <w:t xml:space="preserve">В указанном периоде преобладала группа населения со среднедушевыми денежными доходами от 27 тысяч рублей до 45 тысяч рублей.</w:t>
      </w:r>
    </w:p>
    <w:p>
      <w:pPr>
        <w:pStyle w:val="0"/>
        <w:spacing w:before="240"/>
        <w:ind w:firstLine="540"/>
        <w:jc w:val="both"/>
      </w:pPr>
      <w:r>
        <w:rPr>
          <w:sz w:val="24"/>
        </w:rPr>
        <w:t xml:space="preserve">Распределение общего объема денежных доходов населения по 20-процентным группам населения, приведенное в </w:t>
      </w:r>
      <w:hyperlink w:tooltip="Распределение общего объема денежных доходов населения" w:anchor="P150" w:history="0">
        <w:r>
          <w:rPr>
            <w:color w:val="0000ff"/>
            <w:sz w:val="24"/>
          </w:rPr>
          <w:t xml:space="preserve">таблице 2</w:t>
        </w:r>
      </w:hyperlink>
      <w:r>
        <w:rPr>
          <w:sz w:val="24"/>
        </w:rPr>
        <w:t xml:space="preserve">, за 2023 год показало, что на долю 20% населения с наивысшими доходами приходилось 45,3% общего объема денежных доходов, тогда как у 20% населения с наименьшими доходами сконцентрировано всего 5,8%.</w:t>
      </w:r>
    </w:p>
    <w:p>
      <w:pPr>
        <w:pStyle w:val="0"/>
        <w:spacing w:before="240"/>
        <w:ind w:firstLine="540"/>
        <w:jc w:val="both"/>
      </w:pPr>
      <w:r>
        <w:rPr>
          <w:sz w:val="24"/>
        </w:rPr>
        <w:t xml:space="preserve">Эти данные отражают доли общего объема денежных доходов населения, которые приходятся на каждую из 20-процентных групп населения, ранжированных по мере возрастания денежных доходов. По сравнению с 2021 годом доля доходов первых четырех 20-процентных групп населения снизилась, тогда как в пятой группе с наивысшими доходами произошло ее увеличение с 44,6% до 45,3% соответственно.</w:t>
      </w:r>
    </w:p>
    <w:p>
      <w:pPr>
        <w:pStyle w:val="0"/>
        <w:ind w:firstLine="540"/>
        <w:jc w:val="both"/>
      </w:pPr>
      <w:r>
        <w:rPr>
          <w:sz w:val="24"/>
        </w:rPr>
      </w:r>
    </w:p>
    <w:p>
      <w:pPr>
        <w:pStyle w:val="0"/>
        <w:jc w:val="right"/>
        <w:outlineLvl w:val="2"/>
      </w:pPr>
      <w:r>
        <w:rPr>
          <w:sz w:val="24"/>
        </w:rPr>
        <w:t xml:space="preserve">Таблица 2</w:t>
      </w:r>
    </w:p>
    <w:p>
      <w:pPr>
        <w:pStyle w:val="0"/>
        <w:ind w:firstLine="540"/>
        <w:jc w:val="both"/>
      </w:pPr>
      <w:r>
        <w:rPr>
          <w:sz w:val="24"/>
        </w:rPr>
      </w:r>
    </w:p>
    <w:bookmarkStart w:id="150" w:name="P150"/>
    <w:bookmarkEnd w:id="150"/>
    <w:p>
      <w:pPr>
        <w:pStyle w:val="2"/>
        <w:jc w:val="center"/>
      </w:pPr>
      <w:r>
        <w:rPr>
          <w:sz w:val="24"/>
        </w:rPr>
        <w:t xml:space="preserve">Распределение общего объема денежных доходов населения</w:t>
      </w:r>
    </w:p>
    <w:p>
      <w:pPr>
        <w:pStyle w:val="2"/>
        <w:jc w:val="center"/>
      </w:pPr>
      <w:r>
        <w:rPr>
          <w:sz w:val="24"/>
        </w:rPr>
        <w:t xml:space="preserve">по 20-процентным группам населения, %</w:t>
      </w:r>
    </w:p>
    <w:p>
      <w:pPr>
        <w:pStyle w:val="0"/>
        <w:ind w:firstLine="54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850"/>
        <w:gridCol w:w="1640"/>
        <w:gridCol w:w="1640"/>
        <w:gridCol w:w="1640"/>
        <w:gridCol w:w="1640"/>
        <w:gridCol w:w="1640"/>
      </w:tblGrid>
      <w:tr>
        <w:tc>
          <w:tcPr>
            <w:tcW w:w="850" w:type="dxa"/>
          </w:tcPr>
          <w:p>
            <w:pPr>
              <w:pStyle w:val="0"/>
              <w:jc w:val="center"/>
            </w:pPr>
            <w:r>
              <w:rPr>
                <w:sz w:val="24"/>
              </w:rPr>
              <w:t xml:space="preserve">Годы</w:t>
            </w:r>
          </w:p>
        </w:tc>
        <w:tc>
          <w:tcPr>
            <w:tcW w:w="1640" w:type="dxa"/>
          </w:tcPr>
          <w:p>
            <w:pPr>
              <w:pStyle w:val="0"/>
              <w:jc w:val="center"/>
            </w:pPr>
            <w:r>
              <w:rPr>
                <w:sz w:val="24"/>
              </w:rPr>
              <w:t xml:space="preserve">Первая (с наименьшими доходами)</w:t>
            </w:r>
          </w:p>
        </w:tc>
        <w:tc>
          <w:tcPr>
            <w:tcW w:w="1640" w:type="dxa"/>
          </w:tcPr>
          <w:p>
            <w:pPr>
              <w:pStyle w:val="0"/>
              <w:jc w:val="center"/>
            </w:pPr>
            <w:r>
              <w:rPr>
                <w:sz w:val="24"/>
              </w:rPr>
              <w:t xml:space="preserve">Вторая</w:t>
            </w:r>
          </w:p>
        </w:tc>
        <w:tc>
          <w:tcPr>
            <w:tcW w:w="1640" w:type="dxa"/>
          </w:tcPr>
          <w:p>
            <w:pPr>
              <w:pStyle w:val="0"/>
              <w:jc w:val="center"/>
            </w:pPr>
            <w:r>
              <w:rPr>
                <w:sz w:val="24"/>
              </w:rPr>
              <w:t xml:space="preserve">Третья</w:t>
            </w:r>
          </w:p>
        </w:tc>
        <w:tc>
          <w:tcPr>
            <w:tcW w:w="1640" w:type="dxa"/>
          </w:tcPr>
          <w:p>
            <w:pPr>
              <w:pStyle w:val="0"/>
              <w:jc w:val="center"/>
            </w:pPr>
            <w:r>
              <w:rPr>
                <w:sz w:val="24"/>
              </w:rPr>
              <w:t xml:space="preserve">Четвертая</w:t>
            </w:r>
          </w:p>
        </w:tc>
        <w:tc>
          <w:tcPr>
            <w:tcW w:w="1640" w:type="dxa"/>
          </w:tcPr>
          <w:p>
            <w:pPr>
              <w:pStyle w:val="0"/>
              <w:jc w:val="center"/>
            </w:pPr>
            <w:r>
              <w:rPr>
                <w:sz w:val="24"/>
              </w:rPr>
              <w:t xml:space="preserve">Пятая (с наивысшими доходами)</w:t>
            </w:r>
          </w:p>
        </w:tc>
      </w:tr>
      <w:tr>
        <w:tc>
          <w:tcPr>
            <w:tcW w:w="850" w:type="dxa"/>
          </w:tcPr>
          <w:p>
            <w:pPr>
              <w:pStyle w:val="0"/>
              <w:jc w:val="center"/>
            </w:pPr>
            <w:r>
              <w:rPr>
                <w:sz w:val="24"/>
              </w:rPr>
              <w:t xml:space="preserve">2021</w:t>
            </w:r>
          </w:p>
        </w:tc>
        <w:tc>
          <w:tcPr>
            <w:tcW w:w="1640" w:type="dxa"/>
          </w:tcPr>
          <w:p>
            <w:pPr>
              <w:pStyle w:val="0"/>
              <w:jc w:val="center"/>
            </w:pPr>
            <w:r>
              <w:rPr>
                <w:sz w:val="24"/>
              </w:rPr>
              <w:t xml:space="preserve">6,0</w:t>
            </w:r>
          </w:p>
        </w:tc>
        <w:tc>
          <w:tcPr>
            <w:tcW w:w="1640" w:type="dxa"/>
          </w:tcPr>
          <w:p>
            <w:pPr>
              <w:pStyle w:val="0"/>
              <w:jc w:val="center"/>
            </w:pPr>
            <w:r>
              <w:rPr>
                <w:sz w:val="24"/>
              </w:rPr>
              <w:t xml:space="preserve">10,8</w:t>
            </w:r>
          </w:p>
        </w:tc>
        <w:tc>
          <w:tcPr>
            <w:tcW w:w="1640" w:type="dxa"/>
          </w:tcPr>
          <w:p>
            <w:pPr>
              <w:pStyle w:val="0"/>
              <w:jc w:val="center"/>
            </w:pPr>
            <w:r>
              <w:rPr>
                <w:sz w:val="24"/>
              </w:rPr>
              <w:t xml:space="preserve">15,7</w:t>
            </w:r>
          </w:p>
        </w:tc>
        <w:tc>
          <w:tcPr>
            <w:tcW w:w="1640" w:type="dxa"/>
          </w:tcPr>
          <w:p>
            <w:pPr>
              <w:pStyle w:val="0"/>
              <w:jc w:val="center"/>
            </w:pPr>
            <w:r>
              <w:rPr>
                <w:sz w:val="24"/>
              </w:rPr>
              <w:t xml:space="preserve">22,9</w:t>
            </w:r>
          </w:p>
        </w:tc>
        <w:tc>
          <w:tcPr>
            <w:tcW w:w="1640" w:type="dxa"/>
          </w:tcPr>
          <w:p>
            <w:pPr>
              <w:pStyle w:val="0"/>
              <w:jc w:val="center"/>
            </w:pPr>
            <w:r>
              <w:rPr>
                <w:sz w:val="24"/>
              </w:rPr>
              <w:t xml:space="preserve">44,6</w:t>
            </w:r>
          </w:p>
        </w:tc>
      </w:tr>
      <w:tr>
        <w:tc>
          <w:tcPr>
            <w:tcW w:w="850" w:type="dxa"/>
          </w:tcPr>
          <w:p>
            <w:pPr>
              <w:pStyle w:val="0"/>
              <w:jc w:val="center"/>
            </w:pPr>
            <w:r>
              <w:rPr>
                <w:sz w:val="24"/>
              </w:rPr>
              <w:t xml:space="preserve">2022</w:t>
            </w:r>
          </w:p>
        </w:tc>
        <w:tc>
          <w:tcPr>
            <w:tcW w:w="1640" w:type="dxa"/>
          </w:tcPr>
          <w:p>
            <w:pPr>
              <w:pStyle w:val="0"/>
              <w:jc w:val="center"/>
            </w:pPr>
            <w:r>
              <w:rPr>
                <w:sz w:val="24"/>
              </w:rPr>
              <w:t xml:space="preserve">6,4</w:t>
            </w:r>
          </w:p>
        </w:tc>
        <w:tc>
          <w:tcPr>
            <w:tcW w:w="1640" w:type="dxa"/>
          </w:tcPr>
          <w:p>
            <w:pPr>
              <w:pStyle w:val="0"/>
              <w:jc w:val="center"/>
            </w:pPr>
            <w:r>
              <w:rPr>
                <w:sz w:val="24"/>
              </w:rPr>
              <w:t xml:space="preserve">11,2</w:t>
            </w:r>
          </w:p>
        </w:tc>
        <w:tc>
          <w:tcPr>
            <w:tcW w:w="1640" w:type="dxa"/>
          </w:tcPr>
          <w:p>
            <w:pPr>
              <w:pStyle w:val="0"/>
              <w:jc w:val="center"/>
            </w:pPr>
            <w:r>
              <w:rPr>
                <w:sz w:val="24"/>
              </w:rPr>
              <w:t xml:space="preserve">16,0</w:t>
            </w:r>
          </w:p>
        </w:tc>
        <w:tc>
          <w:tcPr>
            <w:tcW w:w="1640" w:type="dxa"/>
          </w:tcPr>
          <w:p>
            <w:pPr>
              <w:pStyle w:val="0"/>
              <w:jc w:val="center"/>
            </w:pPr>
            <w:r>
              <w:rPr>
                <w:sz w:val="24"/>
              </w:rPr>
              <w:t xml:space="preserve">23,0</w:t>
            </w:r>
          </w:p>
        </w:tc>
        <w:tc>
          <w:tcPr>
            <w:tcW w:w="1640" w:type="dxa"/>
          </w:tcPr>
          <w:p>
            <w:pPr>
              <w:pStyle w:val="0"/>
              <w:jc w:val="center"/>
            </w:pPr>
            <w:r>
              <w:rPr>
                <w:sz w:val="24"/>
              </w:rPr>
              <w:t xml:space="preserve">43,4</w:t>
            </w:r>
          </w:p>
        </w:tc>
      </w:tr>
      <w:tr>
        <w:tc>
          <w:tcPr>
            <w:tcW w:w="850" w:type="dxa"/>
          </w:tcPr>
          <w:p>
            <w:pPr>
              <w:pStyle w:val="0"/>
              <w:jc w:val="center"/>
            </w:pPr>
            <w:r>
              <w:rPr>
                <w:sz w:val="24"/>
              </w:rPr>
              <w:t xml:space="preserve">2023</w:t>
            </w:r>
          </w:p>
        </w:tc>
        <w:tc>
          <w:tcPr>
            <w:tcW w:w="1640" w:type="dxa"/>
          </w:tcPr>
          <w:p>
            <w:pPr>
              <w:pStyle w:val="0"/>
              <w:jc w:val="center"/>
            </w:pPr>
            <w:r>
              <w:rPr>
                <w:sz w:val="24"/>
              </w:rPr>
              <w:t xml:space="preserve">5,8</w:t>
            </w:r>
          </w:p>
        </w:tc>
        <w:tc>
          <w:tcPr>
            <w:tcW w:w="1640" w:type="dxa"/>
          </w:tcPr>
          <w:p>
            <w:pPr>
              <w:pStyle w:val="0"/>
              <w:jc w:val="center"/>
            </w:pPr>
            <w:r>
              <w:rPr>
                <w:sz w:val="24"/>
              </w:rPr>
              <w:t xml:space="preserve">10,6</w:t>
            </w:r>
          </w:p>
        </w:tc>
        <w:tc>
          <w:tcPr>
            <w:tcW w:w="1640" w:type="dxa"/>
          </w:tcPr>
          <w:p>
            <w:pPr>
              <w:pStyle w:val="0"/>
              <w:jc w:val="center"/>
            </w:pPr>
            <w:r>
              <w:rPr>
                <w:sz w:val="24"/>
              </w:rPr>
              <w:t xml:space="preserve">15,5</w:t>
            </w:r>
          </w:p>
        </w:tc>
        <w:tc>
          <w:tcPr>
            <w:tcW w:w="1640" w:type="dxa"/>
          </w:tcPr>
          <w:p>
            <w:pPr>
              <w:pStyle w:val="0"/>
              <w:jc w:val="center"/>
            </w:pPr>
            <w:r>
              <w:rPr>
                <w:sz w:val="24"/>
              </w:rPr>
              <w:t xml:space="preserve">22,8</w:t>
            </w:r>
          </w:p>
        </w:tc>
        <w:tc>
          <w:tcPr>
            <w:tcW w:w="1640" w:type="dxa"/>
          </w:tcPr>
          <w:p>
            <w:pPr>
              <w:pStyle w:val="0"/>
              <w:jc w:val="center"/>
            </w:pPr>
            <w:r>
              <w:rPr>
                <w:sz w:val="24"/>
              </w:rPr>
              <w:t xml:space="preserve">45,3</w:t>
            </w:r>
          </w:p>
        </w:tc>
      </w:tr>
    </w:tbl>
    <w:p>
      <w:pPr>
        <w:pStyle w:val="0"/>
        <w:ind w:firstLine="540"/>
        <w:jc w:val="both"/>
      </w:pPr>
      <w:r>
        <w:rPr>
          <w:sz w:val="24"/>
        </w:rPr>
      </w:r>
    </w:p>
    <w:p>
      <w:pPr>
        <w:pStyle w:val="0"/>
        <w:ind w:firstLine="540"/>
        <w:jc w:val="both"/>
      </w:pPr>
      <w:r>
        <w:rPr>
          <w:sz w:val="24"/>
        </w:rPr>
        <w:t xml:space="preserve">В 2021 - 2023 годах наблюдалось увеличение соотношения в доходах между 10% наиболее обеспеченного населения и 10% менее обеспеченного - с 12,6 раза до 13,4, что привело к увеличению степени поляризации общества, характеризующей равномерность распределения денежных доходов населения Новосибирской области (индекс Джини &lt;1&gt;) с 0,382 до 0,391. В указанном периоде с 6 до 6,4 увеличился децильный коэффициент, характеризующий степень социального расслоения и показывающий во сколько раз минимальные доходы 10% наиболее обеспеченного населения превышают максимальные доходы 10% наименее обеспеченного населения.</w:t>
      </w:r>
    </w:p>
    <w:p>
      <w:pPr>
        <w:pStyle w:val="0"/>
        <w:spacing w:before="240"/>
        <w:ind w:firstLine="540"/>
        <w:jc w:val="both"/>
      </w:pPr>
      <w:r>
        <w:rPr>
          <w:sz w:val="24"/>
        </w:rPr>
        <w:t xml:space="preserve">--------------------------------</w:t>
      </w:r>
    </w:p>
    <w:p>
      <w:pPr>
        <w:pStyle w:val="0"/>
        <w:spacing w:before="240"/>
        <w:ind w:firstLine="540"/>
        <w:jc w:val="both"/>
      </w:pPr>
      <w:r>
        <w:rPr>
          <w:sz w:val="24"/>
        </w:rPr>
        <w:t xml:space="preserve">&lt;1&gt; - чем выше степень поляризации общества, тем ближе индекс Джини к 1. При равномерном распределении денежных доходов данный показатель равен 0.</w:t>
      </w:r>
    </w:p>
    <w:p>
      <w:pPr>
        <w:pStyle w:val="0"/>
        <w:ind w:firstLine="540"/>
        <w:jc w:val="both"/>
      </w:pPr>
      <w:r>
        <w:rPr>
          <w:sz w:val="24"/>
        </w:rPr>
      </w:r>
    </w:p>
    <w:p>
      <w:pPr>
        <w:pStyle w:val="0"/>
        <w:ind w:firstLine="540"/>
        <w:jc w:val="both"/>
      </w:pPr>
      <w:r>
        <w:rPr>
          <w:sz w:val="24"/>
        </w:rPr>
        <w:t xml:space="preserve">В Новосибирской области демонстрируется устойчивая динамика снижения уровня бедности. Численность населения с денежными доходами ниже границы бедности (величины прожиточного минимума) в процентах от общей численности населения снизилась с 2015 года на 7,7 процентного пункта: с 17,3% до 9,6% в 2023 году.</w:t>
      </w:r>
    </w:p>
    <w:p>
      <w:pPr>
        <w:pStyle w:val="0"/>
        <w:spacing w:before="240"/>
        <w:ind w:firstLine="540"/>
        <w:jc w:val="both"/>
      </w:pPr>
      <w:r>
        <w:rPr>
          <w:sz w:val="24"/>
        </w:rPr>
        <w:t xml:space="preserve">В регионе отмечается дифференциация уровня жизни в семьях с полярными уровнями доходов. По статистике бюджетных обследований домашних хозяйств в Новосибирской области за IV квартал доход на члена семьи по всем обследуемым домохозяйствам в 2023 году составил 31972 рубля (IV квартал 2020 года - 23586 рублей), у 20% домохозяйств с наименьшими доходами - 9886 рублей, а у 20% домохозяйств с наибольшими доходами - 72181 рубль, разница составила 7,3 раза (IV квартал 2020 года - 8,7 раза).</w:t>
      </w:r>
    </w:p>
    <w:p>
      <w:pPr>
        <w:pStyle w:val="0"/>
        <w:spacing w:before="240"/>
        <w:ind w:firstLine="540"/>
        <w:jc w:val="both"/>
      </w:pPr>
      <w:r>
        <w:rPr>
          <w:sz w:val="24"/>
        </w:rPr>
        <w:t xml:space="preserve">Разница потребительских расходов 20% домохозяйств с наименьшими доходами и 20% домохозяйств с наибольшими доходами, куда входят затраты на покупку питания, непродовольственных товаров, алкоголя и оплату услуг, составляет 7 раз: 7874 рубля и 54946 рублей на члена семьи в месяц (IV квартал 2020 года - 6,3 раза: 5430 рублей и 34378 рублей соответственно).</w:t>
      </w:r>
    </w:p>
    <w:p>
      <w:pPr>
        <w:pStyle w:val="0"/>
        <w:spacing w:before="240"/>
        <w:ind w:firstLine="540"/>
        <w:jc w:val="both"/>
      </w:pPr>
      <w:r>
        <w:rPr>
          <w:sz w:val="24"/>
        </w:rPr>
        <w:t xml:space="preserve">Наибольшая разница составила в затратах на питание вне дома - 12 раз (128 рублей и 1526 рублей соответственно) и оплату услуг - 5,2 раза (1948 рублей и 10089 рублей соответственно).</w:t>
      </w:r>
    </w:p>
    <w:p>
      <w:pPr>
        <w:pStyle w:val="0"/>
        <w:spacing w:before="240"/>
        <w:ind w:firstLine="540"/>
        <w:jc w:val="both"/>
      </w:pPr>
      <w:r>
        <w:rPr>
          <w:sz w:val="24"/>
        </w:rPr>
        <w:t xml:space="preserve">Наиболее значительна разница этих семей в расходах медицинских услуг, организации отдыха и культурных мероприятий, образования. В IV квартале 2023 года разница в расходах в этих семьях на медицинские услуги составила 198 раз, организации отдыха и культурных мероприятий - 44 раза, образования - 42 раза.</w:t>
      </w:r>
    </w:p>
    <w:p>
      <w:pPr>
        <w:pStyle w:val="0"/>
        <w:spacing w:before="240"/>
        <w:ind w:firstLine="540"/>
        <w:jc w:val="both"/>
      </w:pPr>
      <w:r>
        <w:rPr>
          <w:sz w:val="24"/>
        </w:rPr>
        <w:t xml:space="preserve">Низкодоходные семьи практически не могут позволить себе таких затрат, у них эти расходы составили 10 рублей, 20 рублей и 22 рубля на члена семьи соответственно, а в высокодоходных семьях - 1982 рубля, 876 рублей, 918 рублей.</w:t>
      </w:r>
    </w:p>
    <w:p>
      <w:pPr>
        <w:pStyle w:val="0"/>
        <w:spacing w:before="240"/>
        <w:ind w:firstLine="540"/>
        <w:jc w:val="both"/>
      </w:pPr>
      <w:r>
        <w:rPr>
          <w:sz w:val="24"/>
        </w:rPr>
        <w:t xml:space="preserve">Наблюдается разница в денежных доходах между городскими и сельскими семьями. По денежному доходу она составляла в 2023 году 1,2 раза (2020 год - 1,1 раза) в пользу городских семей (33204 рубля и 27129 рублей на члена семьи). Однако в связи с тем, что натуральный доход за счет поступления дохода от реализации продукции личного подсобного хозяйства выше в сельских семьях в 2,3 раза (2020 год - 2,3 раза), валовой доход, то есть денежный доход плюс натуральные поступления, у городских семей выше только в 1,2 раза (34203 рубля и 29416 рублей соответственно).</w:t>
      </w:r>
    </w:p>
    <w:p>
      <w:pPr>
        <w:pStyle w:val="0"/>
        <w:spacing w:before="240"/>
        <w:ind w:firstLine="540"/>
        <w:jc w:val="both"/>
      </w:pPr>
      <w:r>
        <w:rPr>
          <w:sz w:val="24"/>
        </w:rPr>
        <w:t xml:space="preserve">Располагаемые ресурсы (денежные доходы, натуральные поступления, привлеченные средства и израсходованные сбережения) в домохозяйствах, имеющих детей в возрасте до 16 лет, ниже тех, в которых детей нет. Разница в денежных доходах между этими домохозяйствами составляет 1,4 раза: 31863 рубля и 43770 рублей соответственно (2020 год - 1,3 раза), при этом с увеличением количества детей в семье их бюджет снижается. Так, в семьях, имеющих одного ребенка, сумма располагаемых ресурсов на каждого члена семьи составляет 37392 рубля, в то же время в семьях с двумя и более детьми в 1,4 раза ниже - 26491 рубль. С увеличением числа детей суммарный доход на каждого члена семьи значительно падает, а учитывая, что денежные доходы семей в сельской местности значительно ниже, чем в городской, в состав малоимущих граждан чаще всего попадают семьи с детьми, проживающие в сельской местности.</w:t>
      </w:r>
    </w:p>
    <w:p>
      <w:pPr>
        <w:pStyle w:val="0"/>
        <w:spacing w:before="240"/>
        <w:ind w:firstLine="540"/>
        <w:jc w:val="both"/>
      </w:pPr>
      <w:r>
        <w:rPr>
          <w:sz w:val="24"/>
        </w:rPr>
        <w:t xml:space="preserve">Следовательно, распространение низкого уровня среднедушевых денежных доходов характерно в основном среди сельского населения, в семьях, имеющих двух и более детей.</w:t>
      </w:r>
    </w:p>
    <w:p>
      <w:pPr>
        <w:pStyle w:val="0"/>
        <w:spacing w:before="240"/>
        <w:ind w:firstLine="540"/>
        <w:jc w:val="both"/>
      </w:pPr>
      <w:r>
        <w:rPr>
          <w:sz w:val="24"/>
        </w:rPr>
        <w:t xml:space="preserve">3. Информация о практике применения социального контракта.</w:t>
      </w:r>
    </w:p>
    <w:p>
      <w:pPr>
        <w:pStyle w:val="0"/>
        <w:spacing w:before="240"/>
        <w:ind w:firstLine="540"/>
        <w:jc w:val="both"/>
      </w:pPr>
      <w:r>
        <w:rPr>
          <w:sz w:val="24"/>
        </w:rPr>
        <w:t xml:space="preserve">На территории Новосибирской области ежегодно осуществляется поддержка малоимущих семей и малоимущих одиноко проживающих граждан, которые по независящим от них причинам имеют среднедушевой доход ниже величины прожиточного минимума, установленного в Новосибирской области, на день обращения за социальной помощью.</w:t>
      </w:r>
    </w:p>
    <w:p>
      <w:pPr>
        <w:pStyle w:val="0"/>
        <w:spacing w:before="240"/>
        <w:ind w:firstLine="540"/>
        <w:jc w:val="both"/>
      </w:pPr>
      <w:r>
        <w:rPr>
          <w:sz w:val="24"/>
        </w:rPr>
        <w:t xml:space="preserve">Помощь оказывается в том числе в виде денежной выплаты на основании социального контракта. Социальный контракт является технологией, направленной на преодоление социального иждивенчества, и дает возможность малоимущим гражданам с помощью адресного "стартового капитала" и содействия государства самостоятельно изменить свое материальное положение.</w:t>
      </w:r>
    </w:p>
    <w:p>
      <w:pPr>
        <w:pStyle w:val="0"/>
        <w:spacing w:before="240"/>
        <w:ind w:firstLine="540"/>
        <w:jc w:val="both"/>
      </w:pPr>
      <w:r>
        <w:rPr>
          <w:sz w:val="24"/>
        </w:rPr>
        <w:t xml:space="preserve">На территории Новосибирской области проект по поддержке граждан в рамках социального контракта действует с 2010 года.</w:t>
      </w:r>
    </w:p>
    <w:p>
      <w:pPr>
        <w:pStyle w:val="0"/>
        <w:spacing w:before="240"/>
        <w:ind w:firstLine="540"/>
        <w:jc w:val="both"/>
      </w:pPr>
      <w:r>
        <w:rPr>
          <w:sz w:val="24"/>
        </w:rPr>
        <w:t xml:space="preserve">В целях активного развития социального контракта с 2021 года Новосибирской области выделены средства федерального бюджета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Утвержден перечень мероприятий социального контракта, начиная с 2021 года, - это поиск работы; осуществление индивидуальной предпринимательской деятельности; развитие личного подсобного хозяйства; осуществление иных мероприятий, направленных на преодоление гражданином трудной жизненной ситуации, в целях удовлетворения текущих потребностей граждан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w:t>
      </w:r>
    </w:p>
    <w:p>
      <w:pPr>
        <w:pStyle w:val="0"/>
        <w:spacing w:before="240"/>
        <w:ind w:firstLine="540"/>
        <w:jc w:val="both"/>
      </w:pPr>
      <w:r>
        <w:rPr>
          <w:sz w:val="24"/>
        </w:rPr>
        <w:t xml:space="preserve">Помощь предоставляется малоимущим семьям и малоимущим одиноко проживающим гражданам, которые по независящим от них причинам имеют среднедушевой доход ниже величины прожиточного минимума, установленного в Новосибирской области, на день обращения за социальной помощью.</w:t>
      </w:r>
    </w:p>
    <w:p>
      <w:pPr>
        <w:pStyle w:val="0"/>
        <w:spacing w:before="240"/>
        <w:ind w:firstLine="540"/>
        <w:jc w:val="both"/>
      </w:pPr>
      <w:r>
        <w:rPr>
          <w:sz w:val="24"/>
        </w:rPr>
        <w:t xml:space="preserve">По итогам 2021 года заключено 10017 социальных контрактов: поиск работы - 4995 социальных контрактов (сумма средств на данное направление составила 198,7 млн рублей); осуществление индивидуальной предпринимательской деятельности - 1362 социальных контракта (337,1 млн рублей); ведение личного подсобного хозяйства - 750 социальных контрактов (70,9 млн рублей); осуществление иных мероприятий, направленных на преодоление гражданином трудной жизненной ситуации в целях удовлетворения текущих потребностей граждан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 - 2910 (209,5 млн рублей). Общий объем выделенных средств составил 816,27 млн рублей.</w:t>
      </w:r>
    </w:p>
    <w:p>
      <w:pPr>
        <w:pStyle w:val="0"/>
        <w:spacing w:before="240"/>
        <w:ind w:firstLine="540"/>
        <w:jc w:val="both"/>
      </w:pPr>
      <w:r>
        <w:rPr>
          <w:sz w:val="24"/>
        </w:rPr>
        <w:t xml:space="preserve">По итогам 2022 года заключено 9129 социальных контрактов: поиск работы - 5001 социальный контракт (сумма средств на данное направление составила 287,3 млн рублей); осуществление индивидуальной предпринимательской деятельности - 1309 социальных контрактов (331,5 млн рублей); ведение личного подсобного хозяйства - 642 социальных контракта (72,5 млн рублей); осуществление иных мероприятий, направленных на преодоление гражданином трудной жизненной ситуации в целях удовлетворения текущих потребностей граждан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 - 2177 (201,4 млн рублей). Общий объем выделенных средств составил 892,76 млн рублей.</w:t>
      </w:r>
    </w:p>
    <w:p>
      <w:pPr>
        <w:pStyle w:val="0"/>
        <w:spacing w:before="240"/>
        <w:ind w:firstLine="540"/>
        <w:jc w:val="both"/>
      </w:pPr>
      <w:r>
        <w:rPr>
          <w:sz w:val="24"/>
        </w:rPr>
        <w:t xml:space="preserve">Всего за период 2021 и 2022 годов заключено 19146 контрактов, в том числе более 48,4% социальных контрактов заключено в сельской местности (9274 контракта), 51,6% в городской местности (9872 контракта), 14141 контракт - в семьях с детьми до 18 лет, из них 6497 контрактов в многодетных семьях. Численность граждан, получивших помощь в рамках социального контракта, в 2021 и 2022 годах составила 58356 человек. Численность граждан, охваченных государственной социальной помощью на основании социального контракта, в 2021 году составила 33007 человек, 8,5% от общей численности малоимущих граждан Новосибирской области, в 2022 году - 25309 человек, 7% от общей численности малоимущих граждан Новосибирской области. Численность граждан, трудоустроенных из числа получателей государственной социальной помощи на основании социального контракта, составила 8776 человек, более 87% от численности граждан, заключивших социальный контракт по поиску работы.</w:t>
      </w:r>
    </w:p>
    <w:p>
      <w:pPr>
        <w:pStyle w:val="0"/>
        <w:spacing w:before="240"/>
        <w:ind w:firstLine="540"/>
        <w:jc w:val="both"/>
      </w:pPr>
      <w:r>
        <w:rPr>
          <w:sz w:val="24"/>
        </w:rPr>
        <w:t xml:space="preserve">Доля граждан, охваченных государственной социальной помощью на основании социального контракта, среднедушевой доход которых увеличился по окончании срока действия социального контракта в сравнении со среднедушевым доходом на момент заключения контракта, от общей численности граждан, охваченных социальным контрактом, в 2021 году составила 45,5%, в 2022 году - 66,9%. Доля граждан, охваченных государственной социальной помощью на основании социального контракта, среднедушевой доход которых превысил прожиточный минимум по окончании срока действия социального контракта, от общей численности граждан, охваченных социальным контрактом, в 2021 году составила 8,9%, в 2022 году - 25,1%.</w:t>
      </w:r>
    </w:p>
    <w:p>
      <w:pPr>
        <w:pStyle w:val="0"/>
        <w:spacing w:before="240"/>
        <w:ind w:firstLine="540"/>
        <w:jc w:val="both"/>
      </w:pPr>
      <w:r>
        <w:rPr>
          <w:sz w:val="24"/>
        </w:rPr>
        <w:t xml:space="preserve">Среднедушевой доход семьи до заключения социального контракта составлял в 2021 году в среднем около 7 тыс. рублей, на момент завершения контракта - более 9 тыс. рублей, в 2022 году до заключения социального контракта - в среднем около 8 тыс. рублей, на момент завершения контракта - более 13 тыс. рублей. Количество досрочно расторгнутых социальных контрактов в 2021 году составило 430, в 2022 году - 229. Численность граждан, повторно обратившихся за социальным контрактом после окончания срока действия ранее заключенного социального контракта, в 2021 году составила 294 человека, в 2022 году - 365 человек. В 2023 году заключено 7385 социальных контрактов на общую сумму 1022,7 млн рублей.</w:t>
      </w:r>
    </w:p>
    <w:p>
      <w:pPr>
        <w:pStyle w:val="0"/>
        <w:spacing w:before="240"/>
        <w:ind w:firstLine="540"/>
        <w:jc w:val="both"/>
      </w:pPr>
      <w:r>
        <w:rPr>
          <w:sz w:val="24"/>
        </w:rPr>
        <w:t xml:space="preserve">Всего в 2023 году меры социальной поддержки получили порядка 937 тыс. граждан, из них около 120 тыс. - это семьи с детьми.</w:t>
      </w:r>
    </w:p>
    <w:p>
      <w:pPr>
        <w:pStyle w:val="0"/>
        <w:ind w:firstLine="540"/>
        <w:jc w:val="both"/>
      </w:pPr>
      <w:r>
        <w:rPr>
          <w:sz w:val="24"/>
        </w:rPr>
      </w:r>
    </w:p>
    <w:p>
      <w:pPr>
        <w:pStyle w:val="2"/>
        <w:jc w:val="center"/>
        <w:outlineLvl w:val="1"/>
      </w:pPr>
      <w:r>
        <w:rPr>
          <w:sz w:val="24"/>
        </w:rPr>
        <w:t xml:space="preserve">IV. Управление реализацией региональной программы</w:t>
      </w:r>
    </w:p>
    <w:p>
      <w:pPr>
        <w:pStyle w:val="0"/>
        <w:ind w:firstLine="540"/>
        <w:jc w:val="both"/>
      </w:pPr>
      <w:r>
        <w:rPr>
          <w:sz w:val="24"/>
        </w:rPr>
      </w:r>
    </w:p>
    <w:p>
      <w:pPr>
        <w:pStyle w:val="0"/>
        <w:ind w:firstLine="540"/>
        <w:jc w:val="both"/>
      </w:pPr>
      <w:r>
        <w:rPr>
          <w:sz w:val="24"/>
        </w:rPr>
        <w:t xml:space="preserve">Управление реализацией региональной программы осуществляет министерство труда и социального развития Новосибирской области.</w:t>
      </w:r>
    </w:p>
    <w:p>
      <w:pPr>
        <w:pStyle w:val="0"/>
        <w:spacing w:before="240"/>
        <w:ind w:firstLine="540"/>
        <w:jc w:val="both"/>
      </w:pPr>
      <w:r>
        <w:rPr>
          <w:sz w:val="24"/>
        </w:rPr>
        <w:t xml:space="preserve">Исполнителями плана мероприятий региональной программы (далее - исполнители) являются:</w:t>
      </w:r>
    </w:p>
    <w:p>
      <w:pPr>
        <w:pStyle w:val="0"/>
        <w:spacing w:before="240"/>
        <w:ind w:firstLine="540"/>
        <w:jc w:val="both"/>
      </w:pPr>
      <w:r>
        <w:rPr>
          <w:sz w:val="24"/>
        </w:rPr>
        <w:t xml:space="preserve">министерство здравоохранения Новосибирской области, министерство культуры Новосибирской области, министерство образования Новосибирской области, министерство промышленности, торговли и развития предпринимательства Новосибирской области, министерство сельского хозяйства Новосибирской области, министерство труда и социального развития Новосибирской области, министерство физической культуры и спорта Новосибирской области, министерство экономического развития Новосибирской области.</w:t>
      </w:r>
    </w:p>
    <w:p>
      <w:pPr>
        <w:pStyle w:val="0"/>
        <w:spacing w:before="240"/>
        <w:ind w:firstLine="540"/>
        <w:jc w:val="both"/>
      </w:pPr>
      <w:r>
        <w:rPr>
          <w:sz w:val="24"/>
        </w:rPr>
        <w:t xml:space="preserve">Финансовое обеспечение мероприятий региональной программы, в том числе и вводимых, осуществляется областными исполнительными органами Новосибирской области, являющимися исполнителями мероприятий региональной программы, в пределах бюджетных ассигнований и лимитов бюджетных обязательств, предусмотренных в бюджете Новосибирской области на соответствующий финансовый год.</w:t>
      </w:r>
    </w:p>
    <w:p>
      <w:pPr>
        <w:pStyle w:val="0"/>
        <w:spacing w:before="240"/>
        <w:ind w:firstLine="540"/>
        <w:jc w:val="both"/>
      </w:pPr>
      <w:r>
        <w:rPr>
          <w:sz w:val="24"/>
        </w:rPr>
        <w:t xml:space="preserve">Министерство осуществляет следующие функции:</w:t>
      </w:r>
    </w:p>
    <w:p>
      <w:pPr>
        <w:pStyle w:val="0"/>
        <w:spacing w:before="240"/>
        <w:ind w:firstLine="540"/>
        <w:jc w:val="both"/>
      </w:pPr>
      <w:r>
        <w:rPr>
          <w:sz w:val="24"/>
        </w:rPr>
        <w:t xml:space="preserve">координацию действий областных исполнительных органов Новосибирской области по реализации плана мероприятий региональной программы;</w:t>
      </w:r>
    </w:p>
    <w:p>
      <w:pPr>
        <w:pStyle w:val="0"/>
        <w:spacing w:before="240"/>
        <w:ind w:firstLine="540"/>
        <w:jc w:val="both"/>
      </w:pPr>
      <w:r>
        <w:rPr>
          <w:sz w:val="24"/>
        </w:rPr>
        <w:t xml:space="preserve">мониторинг и оценку эффективности реализации региональной программы;</w:t>
      </w:r>
    </w:p>
    <w:p>
      <w:pPr>
        <w:pStyle w:val="0"/>
        <w:spacing w:before="240"/>
        <w:ind w:firstLine="540"/>
        <w:jc w:val="both"/>
      </w:pPr>
      <w:r>
        <w:rPr>
          <w:sz w:val="24"/>
        </w:rPr>
        <w:t xml:space="preserve">сбор и систематизацию статистической и аналитической информации о достижении значений целевых показателей и реализации плана мероприятий региональной программы;</w:t>
      </w:r>
    </w:p>
    <w:p>
      <w:pPr>
        <w:pStyle w:val="0"/>
        <w:spacing w:before="240"/>
        <w:ind w:firstLine="540"/>
        <w:jc w:val="both"/>
      </w:pPr>
      <w:r>
        <w:rPr>
          <w:sz w:val="24"/>
        </w:rPr>
        <w:t xml:space="preserve">внесение предложений о внесении изменений в региональную программу;</w:t>
      </w:r>
    </w:p>
    <w:p>
      <w:pPr>
        <w:pStyle w:val="0"/>
        <w:spacing w:before="240"/>
        <w:ind w:firstLine="540"/>
        <w:jc w:val="both"/>
      </w:pPr>
      <w:r>
        <w:rPr>
          <w:sz w:val="24"/>
        </w:rPr>
        <w:t xml:space="preserve">проведение по итогам года анализа выполнения плана мероприятий региональной программы на основе выполнения целевых показателей и показателей плана мероприятий;</w:t>
      </w:r>
    </w:p>
    <w:p>
      <w:pPr>
        <w:pStyle w:val="0"/>
        <w:spacing w:before="240"/>
        <w:ind w:firstLine="540"/>
        <w:jc w:val="both"/>
      </w:pPr>
      <w:r>
        <w:rPr>
          <w:sz w:val="24"/>
        </w:rPr>
        <w:t xml:space="preserve">формирование ежеквартально (за 3, 6, 9 месяцев) до 20 числа месяца, следующего за отчетным периодом, и ежегодно по итогам года (за 12 месяцев) до 31 числа, следующего за отчетным периодом, на основании информации, представленной исполнителями региональной программы, отчета о достижении значений целевых показателей региональной программы и отчета о реализации плана мероприятий региональной программы по </w:t>
      </w:r>
      <w:hyperlink w:tooltip="Отчет" w:anchor="P1131" w:history="0">
        <w:r>
          <w:rPr>
            <w:color w:val="0000ff"/>
            <w:sz w:val="24"/>
          </w:rPr>
          <w:t xml:space="preserve">формам 4.1</w:t>
        </w:r>
      </w:hyperlink>
      <w:r>
        <w:rPr>
          <w:sz w:val="24"/>
        </w:rPr>
        <w:t xml:space="preserve"> и </w:t>
      </w:r>
      <w:hyperlink w:tooltip="ОТЧЕТ" w:anchor="P1199" w:history="0">
        <w:r>
          <w:rPr>
            <w:color w:val="0000ff"/>
            <w:sz w:val="24"/>
          </w:rPr>
          <w:t xml:space="preserve">4.2</w:t>
        </w:r>
      </w:hyperlink>
      <w:r>
        <w:rPr>
          <w:sz w:val="24"/>
        </w:rPr>
        <w:t xml:space="preserve"> приложения N 4 к региональной программе и размещение отчетов на официальном сайте Министерства труда и социальной защиты Российской Федерации в программно-информационном комплексе "Мониторинг плана мероприятий "дорожной карты" (https://12-dmg.rosmintrud.ru/);</w:t>
      </w:r>
    </w:p>
    <w:p>
      <w:pPr>
        <w:pStyle w:val="0"/>
        <w:spacing w:before="240"/>
        <w:ind w:firstLine="540"/>
        <w:jc w:val="both"/>
      </w:pPr>
      <w:r>
        <w:rPr>
          <w:sz w:val="24"/>
        </w:rPr>
        <w:t xml:space="preserve">размещение на официальном сайте министерства (</w:t>
      </w:r>
      <w:hyperlink r:id="rId47" w:history="0">
        <w:r>
          <w:rPr>
            <w:color w:val="0000ff"/>
            <w:sz w:val="24"/>
          </w:rPr>
          <w:t xml:space="preserve">https://mtsr.nso.ru/</w:t>
        </w:r>
      </w:hyperlink>
      <w:r>
        <w:rPr>
          <w:sz w:val="24"/>
        </w:rPr>
        <w:t xml:space="preserve">) утвержденной региональной программы, годового отчета о реализации целевых показателей региональной программы;</w:t>
      </w:r>
    </w:p>
    <w:p>
      <w:pPr>
        <w:pStyle w:val="0"/>
        <w:spacing w:before="240"/>
        <w:ind w:firstLine="540"/>
        <w:jc w:val="both"/>
      </w:pPr>
      <w:r>
        <w:rPr>
          <w:sz w:val="24"/>
        </w:rPr>
        <w:t xml:space="preserve">представление годового отчета о достижении значений целевых показателей и реализации плана мероприятий региональной программы заместителю Губернатора Новосибирской области, курирующему деятельность министерства, в срок до 15 марта года, следующего за отчетным годом.</w:t>
      </w:r>
    </w:p>
    <w:p>
      <w:pPr>
        <w:pStyle w:val="0"/>
        <w:spacing w:before="240"/>
        <w:ind w:firstLine="540"/>
        <w:jc w:val="both"/>
      </w:pPr>
      <w:r>
        <w:rPr>
          <w:sz w:val="24"/>
        </w:rPr>
        <w:t xml:space="preserve">Исполнители при реализации региональной программы в пределах своих полномочий:</w:t>
      </w:r>
    </w:p>
    <w:p>
      <w:pPr>
        <w:pStyle w:val="0"/>
        <w:spacing w:before="240"/>
        <w:ind w:firstLine="540"/>
        <w:jc w:val="both"/>
      </w:pPr>
      <w:r>
        <w:rPr>
          <w:sz w:val="24"/>
        </w:rPr>
        <w:t xml:space="preserve">организуют реализацию мероприятий и достижение целевых показателей региональной программы (</w:t>
      </w:r>
      <w:hyperlink w:tooltip="ЦЕЛЕВЫЕ ПОКАЗАТЕЛИ" w:anchor="P254" w:history="0">
        <w:r>
          <w:rPr>
            <w:color w:val="0000ff"/>
            <w:sz w:val="24"/>
          </w:rPr>
          <w:t xml:space="preserve">приложение 1</w:t>
        </w:r>
      </w:hyperlink>
      <w:r>
        <w:rPr>
          <w:sz w:val="24"/>
        </w:rPr>
        <w:t xml:space="preserve">, </w:t>
      </w:r>
      <w:hyperlink w:tooltip="ПЛАН МЕРОПРИЯТИЙ" w:anchor="P459" w:history="0">
        <w:r>
          <w:rPr>
            <w:color w:val="0000ff"/>
            <w:sz w:val="24"/>
          </w:rPr>
          <w:t xml:space="preserve">приложение 2</w:t>
        </w:r>
      </w:hyperlink>
      <w:r>
        <w:rPr>
          <w:sz w:val="24"/>
        </w:rPr>
        <w:t xml:space="preserve">), исполнителями которых они являются;</w:t>
      </w:r>
    </w:p>
    <w:p>
      <w:pPr>
        <w:pStyle w:val="0"/>
        <w:spacing w:before="240"/>
        <w:ind w:firstLine="540"/>
        <w:jc w:val="both"/>
      </w:pPr>
      <w:r>
        <w:rPr>
          <w:sz w:val="24"/>
        </w:rPr>
        <w:t xml:space="preserve">готовят предложения об уточнении перечня целевых показателей и мероприятий, уточняют сроки исполнения по отдельным мероприятиям региональной программы и целевым показателям;</w:t>
      </w:r>
    </w:p>
    <w:p>
      <w:pPr>
        <w:pStyle w:val="0"/>
        <w:spacing w:before="240"/>
        <w:ind w:firstLine="540"/>
        <w:jc w:val="both"/>
      </w:pPr>
      <w:r>
        <w:rPr>
          <w:sz w:val="24"/>
        </w:rPr>
        <w:t xml:space="preserve">осуществляют ежеквартальный мониторинг достижения плановых значений целевых показателей и плана мероприятий региональной программы;</w:t>
      </w:r>
    </w:p>
    <w:p>
      <w:pPr>
        <w:pStyle w:val="0"/>
        <w:spacing w:before="240"/>
        <w:ind w:firstLine="540"/>
        <w:jc w:val="both"/>
      </w:pPr>
      <w:r>
        <w:rPr>
          <w:sz w:val="24"/>
        </w:rPr>
        <w:t xml:space="preserve">осуществляют контроль исполнения соответствующих целевых показателей и мероприятий региональной программы, исполнителями которых они являются;</w:t>
      </w:r>
    </w:p>
    <w:p>
      <w:pPr>
        <w:pStyle w:val="0"/>
        <w:spacing w:before="240"/>
        <w:ind w:firstLine="540"/>
        <w:jc w:val="both"/>
      </w:pPr>
      <w:r>
        <w:rPr>
          <w:sz w:val="24"/>
        </w:rPr>
        <w:t xml:space="preserve">несут ответственность за своевременную и качественную реализацию закрепленных за ними целевых показателей и мероприятий региональной программы;</w:t>
      </w:r>
    </w:p>
    <w:p>
      <w:pPr>
        <w:pStyle w:val="0"/>
        <w:spacing w:before="240"/>
        <w:ind w:firstLine="540"/>
        <w:jc w:val="both"/>
      </w:pPr>
      <w:r>
        <w:rPr>
          <w:sz w:val="24"/>
        </w:rPr>
        <w:t xml:space="preserve">представляют в министерство:</w:t>
      </w:r>
    </w:p>
    <w:p>
      <w:pPr>
        <w:pStyle w:val="0"/>
        <w:spacing w:before="240"/>
        <w:ind w:firstLine="540"/>
        <w:jc w:val="both"/>
      </w:pPr>
      <w:r>
        <w:rPr>
          <w:sz w:val="24"/>
        </w:rPr>
        <w:t xml:space="preserve">план-график реализации целевых показателей региональной программы и план-график реализации плана мероприятий региональной программы, которые составляются ежегодно на текущий год по </w:t>
      </w:r>
      <w:hyperlink w:tooltip="План-график" w:anchor="P985" w:history="0">
        <w:r>
          <w:rPr>
            <w:color w:val="0000ff"/>
            <w:sz w:val="24"/>
          </w:rPr>
          <w:t xml:space="preserve">формам 3.1</w:t>
        </w:r>
      </w:hyperlink>
      <w:r>
        <w:rPr>
          <w:sz w:val="24"/>
        </w:rPr>
        <w:t xml:space="preserve"> и </w:t>
      </w:r>
      <w:hyperlink w:tooltip="План-график" w:anchor="P1040" w:history="0">
        <w:r>
          <w:rPr>
            <w:color w:val="0000ff"/>
            <w:sz w:val="24"/>
          </w:rPr>
          <w:t xml:space="preserve">3.2</w:t>
        </w:r>
      </w:hyperlink>
      <w:r>
        <w:rPr>
          <w:sz w:val="24"/>
        </w:rPr>
        <w:t xml:space="preserve"> приложения N 3 к региональной программе, - до 1 февраля отчетного года;</w:t>
      </w:r>
    </w:p>
    <w:p>
      <w:pPr>
        <w:pStyle w:val="0"/>
        <w:spacing w:before="240"/>
        <w:ind w:firstLine="540"/>
        <w:jc w:val="both"/>
      </w:pPr>
      <w:r>
        <w:rPr>
          <w:sz w:val="24"/>
        </w:rPr>
        <w:t xml:space="preserve">отчет о достижении значений целевых показателей региональной программы и отчет о реализации плана мероприятий региональной программы по </w:t>
      </w:r>
      <w:hyperlink w:tooltip="Отчет" w:anchor="P1131" w:history="0">
        <w:r>
          <w:rPr>
            <w:color w:val="0000ff"/>
            <w:sz w:val="24"/>
          </w:rPr>
          <w:t xml:space="preserve">формам 4.1</w:t>
        </w:r>
      </w:hyperlink>
      <w:r>
        <w:rPr>
          <w:sz w:val="24"/>
        </w:rPr>
        <w:t xml:space="preserve"> и </w:t>
      </w:r>
      <w:hyperlink w:tooltip="ОТЧЕТ" w:anchor="P1199" w:history="0">
        <w:r>
          <w:rPr>
            <w:color w:val="0000ff"/>
            <w:sz w:val="24"/>
          </w:rPr>
          <w:t xml:space="preserve">4.2</w:t>
        </w:r>
      </w:hyperlink>
      <w:r>
        <w:rPr>
          <w:sz w:val="24"/>
        </w:rPr>
        <w:t xml:space="preserve"> приложения N 4 к региональной программе - ежеквартально (за 3, 6, 9 месяцев) до 10 числа месяца, следующего за отчетным периодом, и ежегодно по итогам года (за 12 месяцев) до 12 января года, следующего за отчетным, с приложением аналитической записки.</w:t>
      </w:r>
    </w:p>
    <w:p>
      <w:pPr>
        <w:pStyle w:val="0"/>
        <w:spacing w:before="240"/>
        <w:ind w:firstLine="540"/>
        <w:jc w:val="both"/>
      </w:pPr>
      <w:r>
        <w:rPr>
          <w:sz w:val="24"/>
        </w:rPr>
        <w:t xml:space="preserve">Взаимодействие с областными исполнительными органами Новосибирской области и органами местного самоуправления муниципальных районов, муниципальных округов и городских округов Новосибирской области осуществляется посредством совместной организации и проведения совещаний по вопросам реализации региональной программы.</w:t>
      </w:r>
    </w:p>
    <w:p>
      <w:pPr>
        <w:pStyle w:val="0"/>
        <w:ind w:firstLine="540"/>
        <w:jc w:val="both"/>
      </w:pPr>
      <w:r>
        <w:rPr>
          <w:sz w:val="24"/>
        </w:rPr>
      </w:r>
    </w:p>
    <w:p>
      <w:pPr>
        <w:pStyle w:val="2"/>
        <w:jc w:val="center"/>
        <w:outlineLvl w:val="1"/>
      </w:pPr>
      <w:r>
        <w:rPr>
          <w:sz w:val="24"/>
        </w:rPr>
        <w:t xml:space="preserve">V. Ожидаемые результаты</w:t>
      </w:r>
    </w:p>
    <w:p>
      <w:pPr>
        <w:pStyle w:val="0"/>
        <w:ind w:firstLine="540"/>
        <w:jc w:val="both"/>
      </w:pPr>
      <w:r>
        <w:rPr>
          <w:sz w:val="24"/>
        </w:rPr>
      </w:r>
    </w:p>
    <w:p>
      <w:pPr>
        <w:pStyle w:val="0"/>
        <w:ind w:firstLine="540"/>
        <w:jc w:val="both"/>
      </w:pPr>
      <w:r>
        <w:rPr>
          <w:sz w:val="24"/>
        </w:rPr>
        <w:t xml:space="preserve">Выполнение плана мероприятий региональной программы позволит достичь к 2030 году следующих результатов:</w:t>
      </w:r>
    </w:p>
    <w:p>
      <w:pPr>
        <w:pStyle w:val="0"/>
        <w:spacing w:before="240"/>
        <w:ind w:firstLine="540"/>
        <w:jc w:val="both"/>
      </w:pPr>
      <w:r>
        <w:rPr>
          <w:sz w:val="24"/>
        </w:rPr>
        <w:t xml:space="preserve">численность населения с денежными доходами ниже границы бедности составит не более 6,9%;</w:t>
      </w:r>
    </w:p>
    <w:p>
      <w:pPr>
        <w:pStyle w:val="0"/>
        <w:spacing w:before="240"/>
        <w:ind w:firstLine="540"/>
        <w:jc w:val="both"/>
      </w:pPr>
      <w:r>
        <w:rPr>
          <w:sz w:val="24"/>
        </w:rPr>
        <w:t xml:space="preserve">среднедушевые денежные доходы населения составят не менее 82202 рублей;</w:t>
      </w:r>
    </w:p>
    <w:p>
      <w:pPr>
        <w:pStyle w:val="0"/>
        <w:spacing w:before="240"/>
        <w:ind w:firstLine="540"/>
        <w:jc w:val="both"/>
      </w:pPr>
      <w:r>
        <w:rPr>
          <w:sz w:val="24"/>
        </w:rPr>
        <w:t xml:space="preserve">реальные располагаемые денежные доходы населения составят не менее 104,7%;</w:t>
      </w:r>
    </w:p>
    <w:p>
      <w:pPr>
        <w:pStyle w:val="0"/>
        <w:spacing w:before="240"/>
        <w:ind w:firstLine="540"/>
        <w:jc w:val="both"/>
      </w:pPr>
      <w:r>
        <w:rPr>
          <w:sz w:val="24"/>
        </w:rPr>
        <w:t xml:space="preserve">индекс реальной начисленной заработной платы составит не менее 104,2%;</w:t>
      </w:r>
    </w:p>
    <w:p>
      <w:pPr>
        <w:pStyle w:val="0"/>
        <w:spacing w:before="240"/>
        <w:ind w:firstLine="540"/>
        <w:jc w:val="both"/>
      </w:pPr>
      <w:r>
        <w:rPr>
          <w:sz w:val="24"/>
        </w:rPr>
        <w:t xml:space="preserve">доля граждан, охваченных государственной социальной помощью на основании социального контракта, среднедушевой доход которых (среднедушевой доход семьи которых) увеличился по окончании срока действия социального контракта в сравнении со среднедушевым доходом этих граждан (семьи) до заключения социального контракта, в общей численности граждан, охваченных государственной социальной помощью на основании социального контракта, составит не менее 59,9%;</w:t>
      </w:r>
    </w:p>
    <w:p>
      <w:pPr>
        <w:pStyle w:val="0"/>
        <w:spacing w:before="240"/>
        <w:ind w:firstLine="540"/>
        <w:jc w:val="both"/>
      </w:pPr>
      <w:r>
        <w:rPr>
          <w:sz w:val="24"/>
        </w:rPr>
        <w:t xml:space="preserve">уровень регистрируемой безработицы составит не более 1%;</w:t>
      </w:r>
    </w:p>
    <w:p>
      <w:pPr>
        <w:pStyle w:val="0"/>
        <w:spacing w:before="240"/>
        <w:ind w:firstLine="540"/>
        <w:jc w:val="both"/>
      </w:pPr>
      <w:r>
        <w:rPr>
          <w:sz w:val="24"/>
        </w:rPr>
        <w:t xml:space="preserve">коэффициент напряженности на рынке труда на конец года составит не более 0,5%;</w:t>
      </w:r>
    </w:p>
    <w:p>
      <w:pPr>
        <w:pStyle w:val="0"/>
        <w:spacing w:before="240"/>
        <w:ind w:firstLine="540"/>
        <w:jc w:val="both"/>
      </w:pPr>
      <w:r>
        <w:rPr>
          <w:sz w:val="24"/>
        </w:rPr>
        <w:t xml:space="preserve">доля трудоустроенных граждан в общей численности граждан, обратившихся за содействием в поиске подходящей работы, не менее 73,5%.</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1"/>
      </w:pPr>
      <w:r>
        <w:rPr>
          <w:sz w:val="24"/>
        </w:rPr>
        <w:t xml:space="preserve">Приложение N 1</w:t>
      </w:r>
    </w:p>
    <w:p>
      <w:pPr>
        <w:pStyle w:val="0"/>
        <w:jc w:val="right"/>
      </w:pPr>
      <w:r>
        <w:rPr>
          <w:sz w:val="24"/>
        </w:rPr>
        <w:t xml:space="preserve">к региональной программе</w:t>
      </w:r>
    </w:p>
    <w:p>
      <w:pPr>
        <w:pStyle w:val="0"/>
        <w:jc w:val="right"/>
      </w:pPr>
      <w:r>
        <w:rPr>
          <w:sz w:val="24"/>
        </w:rPr>
        <w:t xml:space="preserve">Новосибирской области</w:t>
      </w:r>
    </w:p>
    <w:p>
      <w:pPr>
        <w:pStyle w:val="0"/>
        <w:jc w:val="right"/>
      </w:pPr>
      <w:r>
        <w:rPr>
          <w:sz w:val="24"/>
        </w:rPr>
        <w:t xml:space="preserve">"Снижение доли населения с</w:t>
      </w:r>
    </w:p>
    <w:p>
      <w:pPr>
        <w:pStyle w:val="0"/>
        <w:jc w:val="right"/>
      </w:pPr>
      <w:r>
        <w:rPr>
          <w:sz w:val="24"/>
        </w:rPr>
        <w:t xml:space="preserve">доходами ниже границы бедности</w:t>
      </w:r>
    </w:p>
    <w:p>
      <w:pPr>
        <w:pStyle w:val="0"/>
        <w:jc w:val="right"/>
      </w:pPr>
      <w:r>
        <w:rPr>
          <w:sz w:val="24"/>
        </w:rPr>
        <w:t xml:space="preserve">в Новосибирской области</w:t>
      </w:r>
    </w:p>
    <w:p>
      <w:pPr>
        <w:pStyle w:val="0"/>
        <w:jc w:val="right"/>
      </w:pPr>
      <w:r>
        <w:rPr>
          <w:sz w:val="24"/>
        </w:rPr>
        <w:t xml:space="preserve">на период до 2030 года"</w:t>
      </w:r>
    </w:p>
    <w:p>
      <w:pPr>
        <w:pStyle w:val="0"/>
        <w:ind w:firstLine="540"/>
        <w:jc w:val="both"/>
      </w:pPr>
      <w:r>
        <w:rPr>
          <w:sz w:val="24"/>
        </w:rPr>
      </w:r>
    </w:p>
    <w:bookmarkStart w:id="254" w:name="P254"/>
    <w:bookmarkEnd w:id="254"/>
    <w:p>
      <w:pPr>
        <w:pStyle w:val="2"/>
        <w:jc w:val="center"/>
      </w:pPr>
      <w:r>
        <w:rPr>
          <w:sz w:val="24"/>
        </w:rPr>
        <w:t xml:space="preserve">ЦЕЛЕВЫЕ ПОКАЗАТЕЛИ</w:t>
      </w:r>
    </w:p>
    <w:p>
      <w:pPr>
        <w:pStyle w:val="2"/>
        <w:jc w:val="center"/>
      </w:pPr>
      <w:r>
        <w:rPr>
          <w:sz w:val="24"/>
        </w:rPr>
        <w:t xml:space="preserve">региональной программы Новосибирской области "Снижение доли</w:t>
      </w:r>
    </w:p>
    <w:p>
      <w:pPr>
        <w:pStyle w:val="2"/>
        <w:jc w:val="center"/>
      </w:pPr>
      <w:r>
        <w:rPr>
          <w:sz w:val="24"/>
        </w:rPr>
        <w:t xml:space="preserve">населения с денежными доходами ниже границы бедности</w:t>
      </w:r>
    </w:p>
    <w:p>
      <w:pPr>
        <w:pStyle w:val="2"/>
        <w:jc w:val="center"/>
      </w:pPr>
      <w:r>
        <w:rPr>
          <w:sz w:val="24"/>
        </w:rPr>
        <w:t xml:space="preserve">в Новосибирской области на период до 2030 года"</w:t>
      </w:r>
    </w:p>
    <w:p>
      <w:pPr>
        <w:pStyle w:val="0"/>
        <w:ind w:firstLine="540"/>
        <w:jc w:val="both"/>
      </w:pPr>
      <w:r>
        <w:rPr>
          <w:sz w:val="24"/>
        </w:rPr>
      </w:r>
    </w:p>
    <w:p>
      <w:pPr>
        <w:sectPr>
          <w:headerReference w:type="default" r:id="rId6"/>
          <w:headerReference w:type="first" r:id="rId7"/>
          <w:footerReference w:type="default" r:id="rId18"/>
          <w:footerReference w:type="first" r:id="rId19"/>
          <w:pgSz w:w="11906" w:h="16838"/>
          <w:pgMar w:top="1440" w:right="566" w:bottom="1440" w:left="1133" w:header="0" w:footer="0" w:gutter="0"/>
          <w:cols w:space="708"/>
          <w:docGrid w:linePitch="360"/>
          <w:titlePg/>
        </w:sectPr>
      </w:pPr>
    </w:p>
    <w:tbl>
      <w:tblPr>
        <w:tblW w:w="5000" w:type="pct"/>
        <w:tblInd w:w="0" w:type="dxa"/>
        <w:tblBorders>
          <w:top w:val="single" w:sz="4"/>
          <w:left w:val="single" w:sz="4"/>
          <w:bottom w:val="single" w:sz="4"/>
          <w:right w:val="single" w:sz="4"/>
          <w:insideH w:val="single" w:sz="4"/>
          <w:insideV w:val="single" w:sz="4"/>
        </w:tblBorders>
        <w:tblCellMar>
          <w:left w:w="62" w:type="dxa"/>
          <w:top w:w="102" w:type="dxa"/>
          <w:right w:w="62" w:type="dxa"/>
          <w:bottom w:w="102" w:type="dxa"/>
        </w:tblCellMar>
      </w:tblPr>
      <w:tblGrid>
        <w:gridCol w:w="2608"/>
        <w:gridCol w:w="1020"/>
        <w:gridCol w:w="1247"/>
        <w:gridCol w:w="963"/>
        <w:gridCol w:w="963"/>
        <w:gridCol w:w="963"/>
        <w:gridCol w:w="963"/>
        <w:gridCol w:w="963"/>
        <w:gridCol w:w="963"/>
        <w:gridCol w:w="963"/>
        <w:gridCol w:w="963"/>
        <w:gridCol w:w="963"/>
        <w:gridCol w:w="963"/>
        <w:gridCol w:w="963"/>
        <w:gridCol w:w="963"/>
        <w:gridCol w:w="963"/>
        <w:gridCol w:w="963"/>
        <w:gridCol w:w="963"/>
      </w:tblGrid>
      <w:tr>
        <w:tc>
          <w:tcPr>
            <w:tcW w:w="2608" w:type="dxa"/>
            <w:vMerge w:val="restart"/>
          </w:tcPr>
          <w:p>
            <w:pPr>
              <w:pStyle w:val="0"/>
              <w:jc w:val="center"/>
            </w:pPr>
            <w:r>
              <w:rPr>
                <w:sz w:val="24"/>
              </w:rPr>
              <w:t xml:space="preserve">Наименование целевого показателя</w:t>
            </w:r>
          </w:p>
        </w:tc>
        <w:tc>
          <w:tcPr>
            <w:tcW w:w="1020" w:type="dxa"/>
            <w:vMerge w:val="restart"/>
          </w:tcPr>
          <w:p>
            <w:pPr>
              <w:pStyle w:val="0"/>
              <w:jc w:val="center"/>
            </w:pPr>
            <w:r>
              <w:rPr>
                <w:sz w:val="24"/>
              </w:rPr>
              <w:t xml:space="preserve">Единица измерения</w:t>
            </w:r>
          </w:p>
        </w:tc>
        <w:tc>
          <w:tcPr>
            <w:tcW w:w="1247" w:type="dxa"/>
            <w:vMerge w:val="restart"/>
          </w:tcPr>
          <w:p>
            <w:pPr>
              <w:pStyle w:val="0"/>
              <w:jc w:val="center"/>
            </w:pPr>
            <w:r>
              <w:rPr>
                <w:sz w:val="24"/>
              </w:rPr>
              <w:t xml:space="preserve">Исполнители</w:t>
            </w:r>
          </w:p>
        </w:tc>
        <w:tc>
          <w:tcPr>
            <w:tcW w:w="6741" w:type="dxa"/>
            <w:gridSpan w:val="7"/>
          </w:tcPr>
          <w:p>
            <w:pPr>
              <w:pStyle w:val="0"/>
              <w:jc w:val="center"/>
            </w:pPr>
            <w:r>
              <w:rPr>
                <w:sz w:val="24"/>
              </w:rPr>
              <w:t xml:space="preserve">Фактическое значение целевого показателя по годам</w:t>
            </w:r>
          </w:p>
        </w:tc>
        <w:tc>
          <w:tcPr>
            <w:tcW w:w="6741" w:type="dxa"/>
            <w:gridSpan w:val="7"/>
          </w:tcPr>
          <w:p>
            <w:pPr>
              <w:pStyle w:val="0"/>
              <w:jc w:val="center"/>
            </w:pPr>
            <w:r>
              <w:rPr>
                <w:sz w:val="24"/>
              </w:rPr>
              <w:t xml:space="preserve">Изменение значения целевого показателя по годам</w:t>
            </w:r>
          </w:p>
        </w:tc>
        <w:tc>
          <w:tcPr>
            <w:tcW w:w="963" w:type="dxa"/>
            <w:vMerge w:val="restart"/>
          </w:tcPr>
          <w:p>
            <w:pPr>
              <w:pStyle w:val="0"/>
              <w:jc w:val="center"/>
            </w:pPr>
            <w:r>
              <w:rPr>
                <w:sz w:val="24"/>
              </w:rPr>
              <w:t xml:space="preserve">Примечание</w:t>
            </w:r>
          </w:p>
        </w:tc>
      </w:tr>
      <w:tr>
        <w:tc>
          <w:tcPr>
            <w:vMerge w:val="continue"/>
          </w:tcPr>
          <w:p/>
        </w:tc>
        <w:tc>
          <w:tcPr>
            <w:vMerge w:val="continue"/>
          </w:tcPr>
          <w:p/>
        </w:tc>
        <w:tc>
          <w:tcPr>
            <w:vMerge w:val="continue"/>
          </w:tcPr>
          <w:p/>
        </w:tc>
        <w:tc>
          <w:tcPr>
            <w:tcW w:w="963" w:type="dxa"/>
          </w:tcPr>
          <w:p>
            <w:pPr>
              <w:pStyle w:val="0"/>
              <w:jc w:val="center"/>
            </w:pPr>
            <w:r>
              <w:rPr>
                <w:sz w:val="24"/>
              </w:rPr>
              <w:t xml:space="preserve">2017</w:t>
            </w:r>
          </w:p>
        </w:tc>
        <w:tc>
          <w:tcPr>
            <w:tcW w:w="963" w:type="dxa"/>
          </w:tcPr>
          <w:p>
            <w:pPr>
              <w:pStyle w:val="0"/>
              <w:jc w:val="center"/>
            </w:pPr>
            <w:r>
              <w:rPr>
                <w:sz w:val="24"/>
              </w:rPr>
              <w:t xml:space="preserve">2018</w:t>
            </w:r>
          </w:p>
        </w:tc>
        <w:tc>
          <w:tcPr>
            <w:tcW w:w="963" w:type="dxa"/>
          </w:tcPr>
          <w:p>
            <w:pPr>
              <w:pStyle w:val="0"/>
              <w:jc w:val="center"/>
            </w:pPr>
            <w:r>
              <w:rPr>
                <w:sz w:val="24"/>
              </w:rPr>
              <w:t xml:space="preserve">2019</w:t>
            </w:r>
          </w:p>
        </w:tc>
        <w:tc>
          <w:tcPr>
            <w:tcW w:w="963" w:type="dxa"/>
          </w:tcPr>
          <w:p>
            <w:pPr>
              <w:pStyle w:val="0"/>
              <w:jc w:val="center"/>
            </w:pPr>
            <w:r>
              <w:rPr>
                <w:sz w:val="24"/>
              </w:rPr>
              <w:t xml:space="preserve">2020</w:t>
            </w:r>
          </w:p>
        </w:tc>
        <w:tc>
          <w:tcPr>
            <w:tcW w:w="963" w:type="dxa"/>
          </w:tcPr>
          <w:p>
            <w:pPr>
              <w:pStyle w:val="0"/>
              <w:jc w:val="center"/>
            </w:pPr>
            <w:r>
              <w:rPr>
                <w:sz w:val="24"/>
              </w:rPr>
              <w:t xml:space="preserve">2021</w:t>
            </w:r>
          </w:p>
        </w:tc>
        <w:tc>
          <w:tcPr>
            <w:tcW w:w="963" w:type="dxa"/>
          </w:tcPr>
          <w:p>
            <w:pPr>
              <w:pStyle w:val="0"/>
              <w:jc w:val="center"/>
            </w:pPr>
            <w:r>
              <w:rPr>
                <w:sz w:val="24"/>
              </w:rPr>
              <w:t xml:space="preserve">2022</w:t>
            </w:r>
          </w:p>
        </w:tc>
        <w:tc>
          <w:tcPr>
            <w:tcW w:w="963" w:type="dxa"/>
          </w:tcPr>
          <w:p>
            <w:pPr>
              <w:pStyle w:val="0"/>
              <w:jc w:val="center"/>
            </w:pPr>
            <w:r>
              <w:rPr>
                <w:sz w:val="24"/>
              </w:rPr>
              <w:t xml:space="preserve">2023</w:t>
            </w:r>
          </w:p>
        </w:tc>
        <w:tc>
          <w:tcPr>
            <w:tcW w:w="963" w:type="dxa"/>
          </w:tcPr>
          <w:p>
            <w:pPr>
              <w:pStyle w:val="0"/>
              <w:jc w:val="center"/>
            </w:pPr>
            <w:r>
              <w:rPr>
                <w:sz w:val="24"/>
              </w:rPr>
              <w:t xml:space="preserve">2024</w:t>
            </w:r>
          </w:p>
        </w:tc>
        <w:tc>
          <w:tcPr>
            <w:tcW w:w="963" w:type="dxa"/>
          </w:tcPr>
          <w:p>
            <w:pPr>
              <w:pStyle w:val="0"/>
              <w:jc w:val="center"/>
            </w:pPr>
            <w:r>
              <w:rPr>
                <w:sz w:val="24"/>
              </w:rPr>
              <w:t xml:space="preserve">2025</w:t>
            </w:r>
          </w:p>
        </w:tc>
        <w:tc>
          <w:tcPr>
            <w:tcW w:w="963" w:type="dxa"/>
          </w:tcPr>
          <w:p>
            <w:pPr>
              <w:pStyle w:val="0"/>
              <w:jc w:val="center"/>
            </w:pPr>
            <w:r>
              <w:rPr>
                <w:sz w:val="24"/>
              </w:rPr>
              <w:t xml:space="preserve">2026</w:t>
            </w:r>
          </w:p>
        </w:tc>
        <w:tc>
          <w:tcPr>
            <w:tcW w:w="963" w:type="dxa"/>
          </w:tcPr>
          <w:p>
            <w:pPr>
              <w:pStyle w:val="0"/>
              <w:jc w:val="center"/>
            </w:pPr>
            <w:r>
              <w:rPr>
                <w:sz w:val="24"/>
              </w:rPr>
              <w:t xml:space="preserve">2027</w:t>
            </w:r>
          </w:p>
        </w:tc>
        <w:tc>
          <w:tcPr>
            <w:tcW w:w="963" w:type="dxa"/>
          </w:tcPr>
          <w:p>
            <w:pPr>
              <w:pStyle w:val="0"/>
              <w:jc w:val="center"/>
            </w:pPr>
            <w:r>
              <w:rPr>
                <w:sz w:val="24"/>
              </w:rPr>
              <w:t xml:space="preserve">2028</w:t>
            </w:r>
          </w:p>
        </w:tc>
        <w:tc>
          <w:tcPr>
            <w:tcW w:w="963" w:type="dxa"/>
          </w:tcPr>
          <w:p>
            <w:pPr>
              <w:pStyle w:val="0"/>
              <w:jc w:val="center"/>
            </w:pPr>
            <w:r>
              <w:rPr>
                <w:sz w:val="24"/>
              </w:rPr>
              <w:t xml:space="preserve">2029</w:t>
            </w:r>
          </w:p>
        </w:tc>
        <w:tc>
          <w:tcPr>
            <w:tcW w:w="963" w:type="dxa"/>
          </w:tcPr>
          <w:p>
            <w:pPr>
              <w:pStyle w:val="0"/>
              <w:jc w:val="center"/>
            </w:pPr>
            <w:r>
              <w:rPr>
                <w:sz w:val="24"/>
              </w:rPr>
              <w:t xml:space="preserve">2030</w:t>
            </w:r>
          </w:p>
        </w:tc>
        <w:tc>
          <w:tcPr>
            <w:vMerge w:val="continue"/>
          </w:tcPr>
          <w:p/>
        </w:tc>
      </w:tr>
      <w:tr>
        <w:tc>
          <w:tcPr>
            <w:tcW w:w="2608" w:type="dxa"/>
          </w:tcPr>
          <w:p>
            <w:pPr>
              <w:pStyle w:val="0"/>
              <w:jc w:val="center"/>
            </w:pPr>
            <w:r>
              <w:rPr>
                <w:sz w:val="24"/>
              </w:rPr>
              <w:t xml:space="preserve">1</w:t>
            </w:r>
          </w:p>
        </w:tc>
        <w:tc>
          <w:tcPr>
            <w:tcW w:w="1020" w:type="dxa"/>
          </w:tcPr>
          <w:p>
            <w:pPr>
              <w:pStyle w:val="0"/>
              <w:jc w:val="center"/>
            </w:pPr>
            <w:r>
              <w:rPr>
                <w:sz w:val="24"/>
              </w:rPr>
              <w:t xml:space="preserve">2</w:t>
            </w:r>
          </w:p>
        </w:tc>
        <w:tc>
          <w:tcPr>
            <w:tcW w:w="1247" w:type="dxa"/>
          </w:tcPr>
          <w:p>
            <w:pPr>
              <w:pStyle w:val="0"/>
              <w:jc w:val="center"/>
            </w:pPr>
            <w:r>
              <w:rPr>
                <w:sz w:val="24"/>
              </w:rPr>
              <w:t xml:space="preserve">3</w:t>
            </w:r>
          </w:p>
        </w:tc>
        <w:tc>
          <w:tcPr>
            <w:tcW w:w="963" w:type="dxa"/>
          </w:tcPr>
          <w:p>
            <w:pPr>
              <w:pStyle w:val="0"/>
              <w:jc w:val="center"/>
            </w:pPr>
            <w:r>
              <w:rPr>
                <w:sz w:val="24"/>
              </w:rPr>
              <w:t xml:space="preserve">4</w:t>
            </w:r>
          </w:p>
        </w:tc>
        <w:tc>
          <w:tcPr>
            <w:tcW w:w="963" w:type="dxa"/>
          </w:tcPr>
          <w:p>
            <w:pPr>
              <w:pStyle w:val="0"/>
              <w:jc w:val="center"/>
            </w:pPr>
            <w:r>
              <w:rPr>
                <w:sz w:val="24"/>
              </w:rPr>
              <w:t xml:space="preserve">5</w:t>
            </w:r>
          </w:p>
        </w:tc>
        <w:tc>
          <w:tcPr>
            <w:tcW w:w="963" w:type="dxa"/>
          </w:tcPr>
          <w:p>
            <w:pPr>
              <w:pStyle w:val="0"/>
              <w:jc w:val="center"/>
            </w:pPr>
            <w:r>
              <w:rPr>
                <w:sz w:val="24"/>
              </w:rPr>
              <w:t xml:space="preserve">6</w:t>
            </w:r>
          </w:p>
        </w:tc>
        <w:tc>
          <w:tcPr>
            <w:tcW w:w="963" w:type="dxa"/>
          </w:tcPr>
          <w:p>
            <w:pPr>
              <w:pStyle w:val="0"/>
              <w:jc w:val="center"/>
            </w:pPr>
            <w:r>
              <w:rPr>
                <w:sz w:val="24"/>
              </w:rPr>
              <w:t xml:space="preserve">7</w:t>
            </w:r>
          </w:p>
        </w:tc>
        <w:tc>
          <w:tcPr>
            <w:tcW w:w="963" w:type="dxa"/>
          </w:tcPr>
          <w:p>
            <w:pPr>
              <w:pStyle w:val="0"/>
              <w:jc w:val="center"/>
            </w:pPr>
            <w:r>
              <w:rPr>
                <w:sz w:val="24"/>
              </w:rPr>
              <w:t xml:space="preserve">8</w:t>
            </w:r>
          </w:p>
        </w:tc>
        <w:tc>
          <w:tcPr>
            <w:tcW w:w="963" w:type="dxa"/>
          </w:tcPr>
          <w:p>
            <w:pPr>
              <w:pStyle w:val="0"/>
              <w:jc w:val="center"/>
            </w:pPr>
            <w:r>
              <w:rPr>
                <w:sz w:val="24"/>
              </w:rPr>
              <w:t xml:space="preserve">9</w:t>
            </w:r>
          </w:p>
        </w:tc>
        <w:tc>
          <w:tcPr>
            <w:tcW w:w="963" w:type="dxa"/>
          </w:tcPr>
          <w:p>
            <w:pPr>
              <w:pStyle w:val="0"/>
              <w:jc w:val="center"/>
            </w:pPr>
            <w:r>
              <w:rPr>
                <w:sz w:val="24"/>
              </w:rPr>
              <w:t xml:space="preserve">10</w:t>
            </w:r>
          </w:p>
        </w:tc>
        <w:tc>
          <w:tcPr>
            <w:tcW w:w="963" w:type="dxa"/>
          </w:tcPr>
          <w:p>
            <w:pPr>
              <w:pStyle w:val="0"/>
              <w:jc w:val="center"/>
            </w:pPr>
            <w:r>
              <w:rPr>
                <w:sz w:val="24"/>
              </w:rPr>
              <w:t xml:space="preserve">11</w:t>
            </w:r>
          </w:p>
        </w:tc>
        <w:tc>
          <w:tcPr>
            <w:tcW w:w="963" w:type="dxa"/>
          </w:tcPr>
          <w:p>
            <w:pPr>
              <w:pStyle w:val="0"/>
              <w:jc w:val="center"/>
            </w:pPr>
            <w:r>
              <w:rPr>
                <w:sz w:val="24"/>
              </w:rPr>
              <w:t xml:space="preserve">12</w:t>
            </w:r>
          </w:p>
        </w:tc>
        <w:tc>
          <w:tcPr>
            <w:tcW w:w="963" w:type="dxa"/>
          </w:tcPr>
          <w:p>
            <w:pPr>
              <w:pStyle w:val="0"/>
              <w:jc w:val="center"/>
            </w:pPr>
            <w:r>
              <w:rPr>
                <w:sz w:val="24"/>
              </w:rPr>
              <w:t xml:space="preserve">13</w:t>
            </w:r>
          </w:p>
        </w:tc>
        <w:tc>
          <w:tcPr>
            <w:tcW w:w="963" w:type="dxa"/>
          </w:tcPr>
          <w:p>
            <w:pPr>
              <w:pStyle w:val="0"/>
              <w:jc w:val="center"/>
            </w:pPr>
            <w:r>
              <w:rPr>
                <w:sz w:val="24"/>
              </w:rPr>
              <w:t xml:space="preserve">14</w:t>
            </w:r>
          </w:p>
        </w:tc>
        <w:tc>
          <w:tcPr>
            <w:tcW w:w="963" w:type="dxa"/>
          </w:tcPr>
          <w:p>
            <w:pPr>
              <w:pStyle w:val="0"/>
              <w:jc w:val="center"/>
            </w:pPr>
            <w:r>
              <w:rPr>
                <w:sz w:val="24"/>
              </w:rPr>
              <w:t xml:space="preserve">15</w:t>
            </w:r>
          </w:p>
        </w:tc>
        <w:tc>
          <w:tcPr>
            <w:tcW w:w="963" w:type="dxa"/>
          </w:tcPr>
          <w:p>
            <w:pPr>
              <w:pStyle w:val="0"/>
              <w:jc w:val="center"/>
            </w:pPr>
            <w:r>
              <w:rPr>
                <w:sz w:val="24"/>
              </w:rPr>
              <w:t xml:space="preserve">16</w:t>
            </w:r>
          </w:p>
        </w:tc>
        <w:tc>
          <w:tcPr>
            <w:tcW w:w="963" w:type="dxa"/>
          </w:tcPr>
          <w:p>
            <w:pPr>
              <w:pStyle w:val="0"/>
              <w:jc w:val="center"/>
            </w:pPr>
            <w:r>
              <w:rPr>
                <w:sz w:val="24"/>
              </w:rPr>
              <w:t xml:space="preserve">17</w:t>
            </w:r>
          </w:p>
        </w:tc>
        <w:tc>
          <w:tcPr>
            <w:tcW w:w="963" w:type="dxa"/>
          </w:tcPr>
          <w:p>
            <w:pPr>
              <w:pStyle w:val="0"/>
              <w:jc w:val="center"/>
            </w:pPr>
            <w:r>
              <w:rPr>
                <w:sz w:val="24"/>
              </w:rPr>
              <w:t xml:space="preserve">18</w:t>
            </w:r>
          </w:p>
        </w:tc>
      </w:tr>
      <w:tr>
        <w:tc>
          <w:tcPr>
            <w:tcW w:w="2608" w:type="dxa"/>
          </w:tcPr>
          <w:p>
            <w:pPr>
              <w:pStyle w:val="0"/>
              <w:jc w:val="both"/>
            </w:pPr>
            <w:r>
              <w:rPr>
                <w:sz w:val="24"/>
              </w:rPr>
              <w:t xml:space="preserve">1. Численность населения с денежными доходами ниже границы бедности</w:t>
            </w:r>
          </w:p>
        </w:tc>
        <w:tc>
          <w:tcPr>
            <w:tcW w:w="1020" w:type="dxa"/>
          </w:tcPr>
          <w:p>
            <w:pPr>
              <w:pStyle w:val="0"/>
              <w:jc w:val="center"/>
            </w:pPr>
            <w:r>
              <w:rPr>
                <w:sz w:val="24"/>
              </w:rPr>
              <w:t xml:space="preserve">% от общей численности населения</w:t>
            </w:r>
          </w:p>
        </w:tc>
        <w:tc>
          <w:tcPr>
            <w:tcW w:w="1247" w:type="dxa"/>
          </w:tcPr>
          <w:p>
            <w:pPr>
              <w:pStyle w:val="0"/>
              <w:jc w:val="center"/>
            </w:pPr>
            <w:r>
              <w:rPr>
                <w:sz w:val="24"/>
              </w:rPr>
              <w:t xml:space="preserve">МТиСР НСО,</w:t>
            </w:r>
          </w:p>
          <w:p>
            <w:pPr>
              <w:pStyle w:val="0"/>
              <w:jc w:val="center"/>
            </w:pPr>
            <w:r>
              <w:rPr>
                <w:sz w:val="24"/>
              </w:rPr>
              <w:t xml:space="preserve">МЭР НСО</w:t>
            </w:r>
          </w:p>
        </w:tc>
        <w:tc>
          <w:tcPr>
            <w:tcW w:w="963" w:type="dxa"/>
          </w:tcPr>
          <w:p>
            <w:pPr>
              <w:pStyle w:val="0"/>
              <w:jc w:val="center"/>
            </w:pPr>
            <w:r>
              <w:rPr>
                <w:sz w:val="24"/>
              </w:rPr>
              <w:t xml:space="preserve">15,1</w:t>
            </w:r>
          </w:p>
        </w:tc>
        <w:tc>
          <w:tcPr>
            <w:tcW w:w="963" w:type="dxa"/>
          </w:tcPr>
          <w:p>
            <w:pPr>
              <w:pStyle w:val="0"/>
              <w:jc w:val="center"/>
            </w:pPr>
            <w:r>
              <w:rPr>
                <w:sz w:val="24"/>
              </w:rPr>
              <w:t xml:space="preserve">14,1</w:t>
            </w:r>
          </w:p>
        </w:tc>
        <w:tc>
          <w:tcPr>
            <w:tcW w:w="963" w:type="dxa"/>
          </w:tcPr>
          <w:p>
            <w:pPr>
              <w:pStyle w:val="0"/>
              <w:jc w:val="center"/>
            </w:pPr>
            <w:r>
              <w:rPr>
                <w:sz w:val="24"/>
              </w:rPr>
              <w:t xml:space="preserve">13,9</w:t>
            </w:r>
          </w:p>
        </w:tc>
        <w:tc>
          <w:tcPr>
            <w:tcW w:w="963" w:type="dxa"/>
          </w:tcPr>
          <w:p>
            <w:pPr>
              <w:pStyle w:val="0"/>
              <w:jc w:val="center"/>
            </w:pPr>
            <w:r>
              <w:rPr>
                <w:sz w:val="24"/>
              </w:rPr>
              <w:t xml:space="preserve">13,8</w:t>
            </w:r>
          </w:p>
        </w:tc>
        <w:tc>
          <w:tcPr>
            <w:tcW w:w="963" w:type="dxa"/>
          </w:tcPr>
          <w:p>
            <w:pPr>
              <w:pStyle w:val="0"/>
              <w:jc w:val="center"/>
            </w:pPr>
            <w:r>
              <w:rPr>
                <w:sz w:val="24"/>
              </w:rPr>
              <w:t xml:space="preserve">12,9</w:t>
            </w:r>
          </w:p>
        </w:tc>
        <w:tc>
          <w:tcPr>
            <w:tcW w:w="963" w:type="dxa"/>
          </w:tcPr>
          <w:p>
            <w:pPr>
              <w:pStyle w:val="0"/>
              <w:jc w:val="center"/>
            </w:pPr>
            <w:r>
              <w:rPr>
                <w:sz w:val="24"/>
              </w:rPr>
              <w:t xml:space="preserve">10,2</w:t>
            </w:r>
          </w:p>
        </w:tc>
        <w:tc>
          <w:tcPr>
            <w:tcW w:w="963" w:type="dxa"/>
          </w:tcPr>
          <w:p>
            <w:pPr>
              <w:pStyle w:val="0"/>
              <w:jc w:val="center"/>
            </w:pPr>
            <w:r>
              <w:rPr>
                <w:sz w:val="24"/>
              </w:rPr>
              <w:t xml:space="preserve">9,6</w:t>
            </w:r>
          </w:p>
        </w:tc>
        <w:tc>
          <w:tcPr>
            <w:tcW w:w="963" w:type="dxa"/>
          </w:tcPr>
          <w:p>
            <w:pPr>
              <w:pStyle w:val="0"/>
              <w:jc w:val="center"/>
            </w:pPr>
            <w:r>
              <w:rPr>
                <w:sz w:val="24"/>
              </w:rPr>
              <w:t xml:space="preserve">9,2</w:t>
            </w:r>
          </w:p>
        </w:tc>
        <w:tc>
          <w:tcPr>
            <w:tcW w:w="963" w:type="dxa"/>
          </w:tcPr>
          <w:p>
            <w:pPr>
              <w:pStyle w:val="0"/>
              <w:jc w:val="center"/>
            </w:pPr>
            <w:r>
              <w:rPr>
                <w:sz w:val="24"/>
              </w:rPr>
              <w:t xml:space="preserve">8,8</w:t>
            </w:r>
          </w:p>
        </w:tc>
        <w:tc>
          <w:tcPr>
            <w:tcW w:w="963" w:type="dxa"/>
          </w:tcPr>
          <w:p>
            <w:pPr>
              <w:pStyle w:val="0"/>
              <w:jc w:val="center"/>
            </w:pPr>
            <w:r>
              <w:rPr>
                <w:sz w:val="24"/>
              </w:rPr>
              <w:t xml:space="preserve">8,4</w:t>
            </w:r>
          </w:p>
        </w:tc>
        <w:tc>
          <w:tcPr>
            <w:tcW w:w="963" w:type="dxa"/>
          </w:tcPr>
          <w:p>
            <w:pPr>
              <w:pStyle w:val="0"/>
              <w:jc w:val="center"/>
            </w:pPr>
            <w:r>
              <w:rPr>
                <w:sz w:val="24"/>
              </w:rPr>
              <w:t xml:space="preserve">8,0</w:t>
            </w:r>
          </w:p>
        </w:tc>
        <w:tc>
          <w:tcPr>
            <w:tcW w:w="963" w:type="dxa"/>
          </w:tcPr>
          <w:p>
            <w:pPr>
              <w:pStyle w:val="0"/>
              <w:jc w:val="center"/>
            </w:pPr>
            <w:r>
              <w:rPr>
                <w:sz w:val="24"/>
              </w:rPr>
              <w:t xml:space="preserve">7,6</w:t>
            </w:r>
          </w:p>
        </w:tc>
        <w:tc>
          <w:tcPr>
            <w:tcW w:w="963" w:type="dxa"/>
          </w:tcPr>
          <w:p>
            <w:pPr>
              <w:pStyle w:val="0"/>
              <w:jc w:val="center"/>
            </w:pPr>
            <w:r>
              <w:rPr>
                <w:sz w:val="24"/>
              </w:rPr>
              <w:t xml:space="preserve">7,2</w:t>
            </w:r>
          </w:p>
        </w:tc>
        <w:tc>
          <w:tcPr>
            <w:tcW w:w="963" w:type="dxa"/>
          </w:tcPr>
          <w:p>
            <w:pPr>
              <w:pStyle w:val="0"/>
              <w:jc w:val="center"/>
            </w:pPr>
            <w:r>
              <w:rPr>
                <w:sz w:val="24"/>
              </w:rPr>
              <w:t xml:space="preserve">6,9</w:t>
            </w:r>
          </w:p>
        </w:tc>
        <w:tc>
          <w:tcPr>
            <w:tcW w:w="963" w:type="dxa"/>
          </w:tcPr>
          <w:p>
            <w:pPr>
              <w:pStyle w:val="0"/>
            </w:pPr>
            <w:r>
              <w:rPr>
                <w:sz w:val="24"/>
              </w:rPr>
            </w:r>
          </w:p>
        </w:tc>
      </w:tr>
      <w:tr>
        <w:tc>
          <w:tcPr>
            <w:tcW w:w="2608" w:type="dxa"/>
          </w:tcPr>
          <w:p>
            <w:pPr>
              <w:pStyle w:val="0"/>
              <w:jc w:val="both"/>
            </w:pPr>
            <w:r>
              <w:rPr>
                <w:sz w:val="24"/>
              </w:rPr>
              <w:t xml:space="preserve">2. Среднедушевые денежные доходы населения</w:t>
            </w:r>
          </w:p>
        </w:tc>
        <w:tc>
          <w:tcPr>
            <w:tcW w:w="1020" w:type="dxa"/>
          </w:tcPr>
          <w:p>
            <w:pPr>
              <w:pStyle w:val="0"/>
              <w:jc w:val="center"/>
            </w:pPr>
            <w:r>
              <w:rPr>
                <w:sz w:val="24"/>
              </w:rPr>
              <w:t xml:space="preserve">рублей</w:t>
            </w:r>
          </w:p>
        </w:tc>
        <w:tc>
          <w:tcPr>
            <w:tcW w:w="1247" w:type="dxa"/>
          </w:tcPr>
          <w:p>
            <w:pPr>
              <w:pStyle w:val="0"/>
              <w:jc w:val="center"/>
            </w:pPr>
            <w:r>
              <w:rPr>
                <w:sz w:val="24"/>
              </w:rPr>
              <w:t xml:space="preserve">МЭР НСО</w:t>
            </w:r>
          </w:p>
        </w:tc>
        <w:tc>
          <w:tcPr>
            <w:tcW w:w="963" w:type="dxa"/>
          </w:tcPr>
          <w:p>
            <w:pPr>
              <w:pStyle w:val="0"/>
              <w:jc w:val="center"/>
            </w:pPr>
            <w:r>
              <w:rPr>
                <w:sz w:val="24"/>
              </w:rPr>
              <w:t xml:space="preserve">27598,0</w:t>
            </w:r>
          </w:p>
        </w:tc>
        <w:tc>
          <w:tcPr>
            <w:tcW w:w="963" w:type="dxa"/>
          </w:tcPr>
          <w:p>
            <w:pPr>
              <w:pStyle w:val="0"/>
              <w:jc w:val="center"/>
            </w:pPr>
            <w:r>
              <w:rPr>
                <w:sz w:val="24"/>
              </w:rPr>
              <w:t xml:space="preserve">28751,0</w:t>
            </w:r>
          </w:p>
        </w:tc>
        <w:tc>
          <w:tcPr>
            <w:tcW w:w="963" w:type="dxa"/>
          </w:tcPr>
          <w:p>
            <w:pPr>
              <w:pStyle w:val="0"/>
              <w:jc w:val="center"/>
            </w:pPr>
            <w:r>
              <w:rPr>
                <w:sz w:val="24"/>
              </w:rPr>
              <w:t xml:space="preserve">30422,0</w:t>
            </w:r>
          </w:p>
        </w:tc>
        <w:tc>
          <w:tcPr>
            <w:tcW w:w="963" w:type="dxa"/>
          </w:tcPr>
          <w:p>
            <w:pPr>
              <w:pStyle w:val="0"/>
              <w:jc w:val="center"/>
            </w:pPr>
            <w:r>
              <w:rPr>
                <w:sz w:val="24"/>
              </w:rPr>
              <w:t xml:space="preserve">31440,0</w:t>
            </w:r>
          </w:p>
        </w:tc>
        <w:tc>
          <w:tcPr>
            <w:tcW w:w="963" w:type="dxa"/>
          </w:tcPr>
          <w:p>
            <w:pPr>
              <w:pStyle w:val="0"/>
              <w:jc w:val="center"/>
            </w:pPr>
            <w:r>
              <w:rPr>
                <w:sz w:val="24"/>
              </w:rPr>
              <w:t xml:space="preserve">35070,0</w:t>
            </w:r>
          </w:p>
        </w:tc>
        <w:tc>
          <w:tcPr>
            <w:tcW w:w="963" w:type="dxa"/>
          </w:tcPr>
          <w:p>
            <w:pPr>
              <w:pStyle w:val="0"/>
              <w:jc w:val="center"/>
            </w:pPr>
            <w:r>
              <w:rPr>
                <w:sz w:val="24"/>
              </w:rPr>
              <w:t xml:space="preserve">44359,0</w:t>
            </w:r>
          </w:p>
        </w:tc>
        <w:tc>
          <w:tcPr>
            <w:tcW w:w="963" w:type="dxa"/>
          </w:tcPr>
          <w:p>
            <w:pPr>
              <w:pStyle w:val="0"/>
              <w:jc w:val="center"/>
            </w:pPr>
            <w:r>
              <w:rPr>
                <w:sz w:val="24"/>
              </w:rPr>
              <w:t xml:space="preserve">49347,0</w:t>
            </w:r>
          </w:p>
        </w:tc>
        <w:tc>
          <w:tcPr>
            <w:tcW w:w="963" w:type="dxa"/>
          </w:tcPr>
          <w:p>
            <w:pPr>
              <w:pStyle w:val="0"/>
              <w:jc w:val="center"/>
            </w:pPr>
            <w:r>
              <w:rPr>
                <w:sz w:val="24"/>
              </w:rPr>
              <w:t xml:space="preserve">51938,0</w:t>
            </w:r>
          </w:p>
        </w:tc>
        <w:tc>
          <w:tcPr>
            <w:tcW w:w="963" w:type="dxa"/>
          </w:tcPr>
          <w:p>
            <w:pPr>
              <w:pStyle w:val="0"/>
              <w:jc w:val="center"/>
            </w:pPr>
            <w:r>
              <w:rPr>
                <w:sz w:val="24"/>
              </w:rPr>
              <w:t xml:space="preserve">55957,0</w:t>
            </w:r>
          </w:p>
        </w:tc>
        <w:tc>
          <w:tcPr>
            <w:tcW w:w="963" w:type="dxa"/>
          </w:tcPr>
          <w:p>
            <w:pPr>
              <w:pStyle w:val="0"/>
              <w:jc w:val="center"/>
            </w:pPr>
            <w:r>
              <w:rPr>
                <w:sz w:val="24"/>
              </w:rPr>
              <w:t xml:space="preserve">60250,0</w:t>
            </w:r>
          </w:p>
        </w:tc>
        <w:tc>
          <w:tcPr>
            <w:tcW w:w="963" w:type="dxa"/>
          </w:tcPr>
          <w:p>
            <w:pPr>
              <w:pStyle w:val="0"/>
              <w:jc w:val="center"/>
            </w:pPr>
            <w:r>
              <w:rPr>
                <w:sz w:val="24"/>
              </w:rPr>
              <w:t xml:space="preserve">64579,0</w:t>
            </w:r>
          </w:p>
        </w:tc>
        <w:tc>
          <w:tcPr>
            <w:tcW w:w="963" w:type="dxa"/>
          </w:tcPr>
          <w:p>
            <w:pPr>
              <w:pStyle w:val="0"/>
              <w:jc w:val="center"/>
            </w:pPr>
            <w:r>
              <w:rPr>
                <w:sz w:val="24"/>
              </w:rPr>
              <w:t xml:space="preserve">69739,0</w:t>
            </w:r>
          </w:p>
        </w:tc>
        <w:tc>
          <w:tcPr>
            <w:tcW w:w="963" w:type="dxa"/>
          </w:tcPr>
          <w:p>
            <w:pPr>
              <w:pStyle w:val="0"/>
              <w:jc w:val="center"/>
            </w:pPr>
            <w:r>
              <w:rPr>
                <w:sz w:val="24"/>
              </w:rPr>
              <w:t xml:space="preserve">75439,0</w:t>
            </w:r>
          </w:p>
        </w:tc>
        <w:tc>
          <w:tcPr>
            <w:tcW w:w="963" w:type="dxa"/>
          </w:tcPr>
          <w:p>
            <w:pPr>
              <w:pStyle w:val="0"/>
              <w:jc w:val="center"/>
            </w:pPr>
            <w:r>
              <w:rPr>
                <w:sz w:val="24"/>
              </w:rPr>
              <w:t xml:space="preserve">82202,0</w:t>
            </w:r>
          </w:p>
        </w:tc>
        <w:tc>
          <w:tcPr>
            <w:tcW w:w="963" w:type="dxa"/>
          </w:tcPr>
          <w:p>
            <w:pPr>
              <w:pStyle w:val="0"/>
            </w:pPr>
            <w:r>
              <w:rPr>
                <w:sz w:val="24"/>
              </w:rPr>
            </w:r>
          </w:p>
        </w:tc>
      </w:tr>
      <w:tr>
        <w:tc>
          <w:tcPr>
            <w:tcW w:w="2608" w:type="dxa"/>
          </w:tcPr>
          <w:p>
            <w:pPr>
              <w:pStyle w:val="0"/>
              <w:jc w:val="both"/>
            </w:pPr>
            <w:r>
              <w:rPr>
                <w:sz w:val="24"/>
              </w:rPr>
              <w:t xml:space="preserve">3. Реальные располагаемые денежные доходы населения</w:t>
            </w:r>
          </w:p>
        </w:tc>
        <w:tc>
          <w:tcPr>
            <w:tcW w:w="1020" w:type="dxa"/>
          </w:tcPr>
          <w:p>
            <w:pPr>
              <w:pStyle w:val="0"/>
              <w:jc w:val="center"/>
            </w:pPr>
            <w:r>
              <w:rPr>
                <w:sz w:val="24"/>
              </w:rPr>
              <w:t xml:space="preserve">% к предыдущему году</w:t>
            </w:r>
          </w:p>
        </w:tc>
        <w:tc>
          <w:tcPr>
            <w:tcW w:w="1247" w:type="dxa"/>
          </w:tcPr>
          <w:p>
            <w:pPr>
              <w:pStyle w:val="0"/>
              <w:jc w:val="center"/>
            </w:pPr>
            <w:r>
              <w:rPr>
                <w:sz w:val="24"/>
              </w:rPr>
              <w:t xml:space="preserve">МЭР НСО</w:t>
            </w:r>
          </w:p>
        </w:tc>
        <w:tc>
          <w:tcPr>
            <w:tcW w:w="963" w:type="dxa"/>
          </w:tcPr>
          <w:p>
            <w:pPr>
              <w:pStyle w:val="0"/>
              <w:jc w:val="center"/>
            </w:pPr>
            <w:r>
              <w:rPr>
                <w:sz w:val="24"/>
              </w:rPr>
              <w:t xml:space="preserve">101,0</w:t>
            </w:r>
          </w:p>
        </w:tc>
        <w:tc>
          <w:tcPr>
            <w:tcW w:w="963" w:type="dxa"/>
          </w:tcPr>
          <w:p>
            <w:pPr>
              <w:pStyle w:val="0"/>
              <w:jc w:val="center"/>
            </w:pPr>
            <w:r>
              <w:rPr>
                <w:sz w:val="24"/>
              </w:rPr>
              <w:t xml:space="preserve">102,1</w:t>
            </w:r>
          </w:p>
        </w:tc>
        <w:tc>
          <w:tcPr>
            <w:tcW w:w="963" w:type="dxa"/>
          </w:tcPr>
          <w:p>
            <w:pPr>
              <w:pStyle w:val="0"/>
              <w:jc w:val="center"/>
            </w:pPr>
            <w:r>
              <w:rPr>
                <w:sz w:val="24"/>
              </w:rPr>
              <w:t xml:space="preserve">100,9</w:t>
            </w:r>
          </w:p>
        </w:tc>
        <w:tc>
          <w:tcPr>
            <w:tcW w:w="963" w:type="dxa"/>
          </w:tcPr>
          <w:p>
            <w:pPr>
              <w:pStyle w:val="0"/>
              <w:jc w:val="center"/>
            </w:pPr>
            <w:r>
              <w:rPr>
                <w:sz w:val="24"/>
              </w:rPr>
              <w:t xml:space="preserve">99,1</w:t>
            </w:r>
          </w:p>
        </w:tc>
        <w:tc>
          <w:tcPr>
            <w:tcW w:w="963" w:type="dxa"/>
          </w:tcPr>
          <w:p>
            <w:pPr>
              <w:pStyle w:val="0"/>
              <w:jc w:val="center"/>
            </w:pPr>
            <w:r>
              <w:rPr>
                <w:sz w:val="24"/>
              </w:rPr>
              <w:t xml:space="preserve">104,2</w:t>
            </w:r>
          </w:p>
        </w:tc>
        <w:tc>
          <w:tcPr>
            <w:tcW w:w="963" w:type="dxa"/>
          </w:tcPr>
          <w:p>
            <w:pPr>
              <w:pStyle w:val="0"/>
              <w:jc w:val="center"/>
            </w:pPr>
            <w:r>
              <w:rPr>
                <w:sz w:val="24"/>
              </w:rPr>
              <w:t xml:space="preserve">111,9</w:t>
            </w:r>
          </w:p>
        </w:tc>
        <w:tc>
          <w:tcPr>
            <w:tcW w:w="963" w:type="dxa"/>
          </w:tcPr>
          <w:p>
            <w:pPr>
              <w:pStyle w:val="0"/>
              <w:jc w:val="center"/>
            </w:pPr>
            <w:r>
              <w:rPr>
                <w:sz w:val="24"/>
              </w:rPr>
              <w:t xml:space="preserve">106,7</w:t>
            </w:r>
          </w:p>
        </w:tc>
        <w:tc>
          <w:tcPr>
            <w:tcW w:w="963" w:type="dxa"/>
          </w:tcPr>
          <w:p>
            <w:pPr>
              <w:pStyle w:val="0"/>
              <w:jc w:val="center"/>
            </w:pPr>
            <w:r>
              <w:rPr>
                <w:sz w:val="24"/>
              </w:rPr>
              <w:t xml:space="preserve">100,4</w:t>
            </w:r>
          </w:p>
        </w:tc>
        <w:tc>
          <w:tcPr>
            <w:tcW w:w="963" w:type="dxa"/>
          </w:tcPr>
          <w:p>
            <w:pPr>
              <w:pStyle w:val="0"/>
              <w:jc w:val="center"/>
            </w:pPr>
            <w:r>
              <w:rPr>
                <w:sz w:val="24"/>
              </w:rPr>
              <w:t xml:space="preserve">102,2</w:t>
            </w:r>
          </w:p>
        </w:tc>
        <w:tc>
          <w:tcPr>
            <w:tcW w:w="963" w:type="dxa"/>
          </w:tcPr>
          <w:p>
            <w:pPr>
              <w:pStyle w:val="0"/>
              <w:jc w:val="center"/>
            </w:pPr>
            <w:r>
              <w:rPr>
                <w:sz w:val="24"/>
              </w:rPr>
              <w:t xml:space="preserve">103,4</w:t>
            </w:r>
          </w:p>
        </w:tc>
        <w:tc>
          <w:tcPr>
            <w:tcW w:w="963" w:type="dxa"/>
          </w:tcPr>
          <w:p>
            <w:pPr>
              <w:pStyle w:val="0"/>
              <w:jc w:val="center"/>
            </w:pPr>
            <w:r>
              <w:rPr>
                <w:sz w:val="24"/>
              </w:rPr>
              <w:t xml:space="preserve">102,9</w:t>
            </w:r>
          </w:p>
        </w:tc>
        <w:tc>
          <w:tcPr>
            <w:tcW w:w="963" w:type="dxa"/>
          </w:tcPr>
          <w:p>
            <w:pPr>
              <w:pStyle w:val="0"/>
              <w:jc w:val="center"/>
            </w:pPr>
            <w:r>
              <w:rPr>
                <w:sz w:val="24"/>
              </w:rPr>
              <w:t xml:space="preserve">103,8</w:t>
            </w:r>
          </w:p>
        </w:tc>
        <w:tc>
          <w:tcPr>
            <w:tcW w:w="963" w:type="dxa"/>
          </w:tcPr>
          <w:p>
            <w:pPr>
              <w:pStyle w:val="0"/>
              <w:jc w:val="center"/>
            </w:pPr>
            <w:r>
              <w:rPr>
                <w:sz w:val="24"/>
              </w:rPr>
              <w:t xml:space="preserve">103,9</w:t>
            </w:r>
          </w:p>
        </w:tc>
        <w:tc>
          <w:tcPr>
            <w:tcW w:w="963" w:type="dxa"/>
          </w:tcPr>
          <w:p>
            <w:pPr>
              <w:pStyle w:val="0"/>
              <w:jc w:val="center"/>
            </w:pPr>
            <w:r>
              <w:rPr>
                <w:sz w:val="24"/>
              </w:rPr>
              <w:t xml:space="preserve">104,7</w:t>
            </w:r>
          </w:p>
        </w:tc>
        <w:tc>
          <w:tcPr>
            <w:tcW w:w="963" w:type="dxa"/>
          </w:tcPr>
          <w:p>
            <w:pPr>
              <w:pStyle w:val="0"/>
            </w:pPr>
            <w:r>
              <w:rPr>
                <w:sz w:val="24"/>
              </w:rPr>
            </w:r>
          </w:p>
        </w:tc>
      </w:tr>
      <w:tr>
        <w:tc>
          <w:tcPr>
            <w:tcW w:w="2608" w:type="dxa"/>
          </w:tcPr>
          <w:p>
            <w:pPr>
              <w:pStyle w:val="0"/>
              <w:jc w:val="both"/>
            </w:pPr>
            <w:r>
              <w:rPr>
                <w:sz w:val="24"/>
              </w:rPr>
              <w:t xml:space="preserve">4. Индекс реальной начисленной заработной платы</w:t>
            </w:r>
          </w:p>
        </w:tc>
        <w:tc>
          <w:tcPr>
            <w:tcW w:w="1020" w:type="dxa"/>
          </w:tcPr>
          <w:p>
            <w:pPr>
              <w:pStyle w:val="0"/>
              <w:jc w:val="center"/>
            </w:pPr>
            <w:r>
              <w:rPr>
                <w:sz w:val="24"/>
              </w:rPr>
              <w:t xml:space="preserve">% к предыдущему году</w:t>
            </w:r>
          </w:p>
        </w:tc>
        <w:tc>
          <w:tcPr>
            <w:tcW w:w="1247" w:type="dxa"/>
          </w:tcPr>
          <w:p>
            <w:pPr>
              <w:pStyle w:val="0"/>
              <w:jc w:val="center"/>
            </w:pPr>
            <w:r>
              <w:rPr>
                <w:sz w:val="24"/>
              </w:rPr>
              <w:t xml:space="preserve">МТиСР НСО, МЭР НСО</w:t>
            </w:r>
          </w:p>
        </w:tc>
        <w:tc>
          <w:tcPr>
            <w:tcW w:w="963" w:type="dxa"/>
          </w:tcPr>
          <w:p>
            <w:pPr>
              <w:pStyle w:val="0"/>
              <w:jc w:val="center"/>
            </w:pPr>
            <w:r>
              <w:rPr>
                <w:sz w:val="24"/>
              </w:rPr>
              <w:t xml:space="preserve">104,1</w:t>
            </w:r>
          </w:p>
        </w:tc>
        <w:tc>
          <w:tcPr>
            <w:tcW w:w="963" w:type="dxa"/>
          </w:tcPr>
          <w:p>
            <w:pPr>
              <w:pStyle w:val="0"/>
              <w:jc w:val="center"/>
            </w:pPr>
            <w:r>
              <w:rPr>
                <w:sz w:val="24"/>
              </w:rPr>
              <w:t xml:space="preserve">108,8</w:t>
            </w:r>
          </w:p>
        </w:tc>
        <w:tc>
          <w:tcPr>
            <w:tcW w:w="963" w:type="dxa"/>
          </w:tcPr>
          <w:p>
            <w:pPr>
              <w:pStyle w:val="0"/>
              <w:jc w:val="center"/>
            </w:pPr>
            <w:r>
              <w:rPr>
                <w:sz w:val="24"/>
              </w:rPr>
              <w:t xml:space="preserve">105,0</w:t>
            </w:r>
          </w:p>
        </w:tc>
        <w:tc>
          <w:tcPr>
            <w:tcW w:w="963" w:type="dxa"/>
          </w:tcPr>
          <w:p>
            <w:pPr>
              <w:pStyle w:val="0"/>
              <w:jc w:val="center"/>
            </w:pPr>
            <w:r>
              <w:rPr>
                <w:sz w:val="24"/>
              </w:rPr>
              <w:t xml:space="preserve">102,9</w:t>
            </w:r>
          </w:p>
        </w:tc>
        <w:tc>
          <w:tcPr>
            <w:tcW w:w="963" w:type="dxa"/>
          </w:tcPr>
          <w:p>
            <w:pPr>
              <w:pStyle w:val="0"/>
              <w:jc w:val="center"/>
            </w:pPr>
            <w:r>
              <w:rPr>
                <w:sz w:val="24"/>
              </w:rPr>
              <w:t xml:space="preserve">104,5</w:t>
            </w:r>
          </w:p>
        </w:tc>
        <w:tc>
          <w:tcPr>
            <w:tcW w:w="963" w:type="dxa"/>
          </w:tcPr>
          <w:p>
            <w:pPr>
              <w:pStyle w:val="0"/>
              <w:jc w:val="center"/>
            </w:pPr>
            <w:r>
              <w:rPr>
                <w:sz w:val="24"/>
              </w:rPr>
              <w:t xml:space="preserve">102,3</w:t>
            </w:r>
          </w:p>
        </w:tc>
        <w:tc>
          <w:tcPr>
            <w:tcW w:w="963" w:type="dxa"/>
          </w:tcPr>
          <w:p>
            <w:pPr>
              <w:pStyle w:val="0"/>
              <w:jc w:val="center"/>
            </w:pPr>
            <w:r>
              <w:rPr>
                <w:sz w:val="24"/>
              </w:rPr>
              <w:t xml:space="preserve">113,8</w:t>
            </w:r>
          </w:p>
        </w:tc>
        <w:tc>
          <w:tcPr>
            <w:tcW w:w="963" w:type="dxa"/>
          </w:tcPr>
          <w:p>
            <w:pPr>
              <w:pStyle w:val="0"/>
              <w:jc w:val="center"/>
            </w:pPr>
            <w:r>
              <w:rPr>
                <w:sz w:val="24"/>
              </w:rPr>
              <w:t xml:space="preserve">109,6</w:t>
            </w:r>
          </w:p>
        </w:tc>
        <w:tc>
          <w:tcPr>
            <w:tcW w:w="963" w:type="dxa"/>
          </w:tcPr>
          <w:p>
            <w:pPr>
              <w:pStyle w:val="0"/>
              <w:jc w:val="center"/>
            </w:pPr>
            <w:r>
              <w:rPr>
                <w:sz w:val="24"/>
              </w:rPr>
              <w:t xml:space="preserve">102,2</w:t>
            </w:r>
          </w:p>
        </w:tc>
        <w:tc>
          <w:tcPr>
            <w:tcW w:w="963" w:type="dxa"/>
          </w:tcPr>
          <w:p>
            <w:pPr>
              <w:pStyle w:val="0"/>
              <w:jc w:val="center"/>
            </w:pPr>
            <w:r>
              <w:rPr>
                <w:sz w:val="24"/>
              </w:rPr>
              <w:t xml:space="preserve">103,3</w:t>
            </w:r>
          </w:p>
        </w:tc>
        <w:tc>
          <w:tcPr>
            <w:tcW w:w="963" w:type="dxa"/>
          </w:tcPr>
          <w:p>
            <w:pPr>
              <w:pStyle w:val="0"/>
              <w:jc w:val="center"/>
            </w:pPr>
            <w:r>
              <w:rPr>
                <w:sz w:val="24"/>
              </w:rPr>
              <w:t xml:space="preserve">103,7</w:t>
            </w:r>
          </w:p>
        </w:tc>
        <w:tc>
          <w:tcPr>
            <w:tcW w:w="963" w:type="dxa"/>
          </w:tcPr>
          <w:p>
            <w:pPr>
              <w:pStyle w:val="0"/>
              <w:jc w:val="center"/>
            </w:pPr>
            <w:r>
              <w:rPr>
                <w:sz w:val="24"/>
              </w:rPr>
              <w:t xml:space="preserve">103,7</w:t>
            </w:r>
          </w:p>
        </w:tc>
        <w:tc>
          <w:tcPr>
            <w:tcW w:w="963" w:type="dxa"/>
          </w:tcPr>
          <w:p>
            <w:pPr>
              <w:pStyle w:val="0"/>
              <w:jc w:val="center"/>
            </w:pPr>
            <w:r>
              <w:rPr>
                <w:sz w:val="24"/>
              </w:rPr>
              <w:t xml:space="preserve">103,8</w:t>
            </w:r>
          </w:p>
        </w:tc>
        <w:tc>
          <w:tcPr>
            <w:tcW w:w="963" w:type="dxa"/>
          </w:tcPr>
          <w:p>
            <w:pPr>
              <w:pStyle w:val="0"/>
              <w:jc w:val="center"/>
            </w:pPr>
            <w:r>
              <w:rPr>
                <w:sz w:val="24"/>
              </w:rPr>
              <w:t xml:space="preserve">104,2</w:t>
            </w:r>
          </w:p>
        </w:tc>
        <w:tc>
          <w:tcPr>
            <w:tcW w:w="963" w:type="dxa"/>
          </w:tcPr>
          <w:p>
            <w:pPr>
              <w:pStyle w:val="0"/>
            </w:pPr>
            <w:r>
              <w:rPr>
                <w:sz w:val="24"/>
              </w:rPr>
            </w:r>
          </w:p>
        </w:tc>
      </w:tr>
      <w:tr>
        <w:tc>
          <w:tcPr>
            <w:tcW w:w="2608" w:type="dxa"/>
          </w:tcPr>
          <w:p>
            <w:pPr>
              <w:pStyle w:val="0"/>
              <w:jc w:val="both"/>
            </w:pPr>
            <w:r>
              <w:rPr>
                <w:sz w:val="24"/>
              </w:rPr>
              <w:t xml:space="preserve">5. Доля граждан, охваченных государственной социальной помощью на основании социального контракта, среднедушевой доход которых (среднедушевой доход семьи которых) увеличился по окончании срока действия социального контракта в сравнении со среднедушевым доходом этих граждан (семьи) до заключения социального контракта, в общей численности граждан, охваченных государственной социальной помощью на основании социального контракта</w:t>
            </w:r>
          </w:p>
        </w:tc>
        <w:tc>
          <w:tcPr>
            <w:tcW w:w="1020" w:type="dxa"/>
          </w:tcPr>
          <w:p>
            <w:pPr>
              <w:pStyle w:val="0"/>
              <w:jc w:val="center"/>
            </w:pPr>
            <w:r>
              <w:rPr>
                <w:sz w:val="24"/>
              </w:rPr>
              <w:t xml:space="preserve">%</w:t>
            </w:r>
          </w:p>
        </w:tc>
        <w:tc>
          <w:tcPr>
            <w:tcW w:w="1247" w:type="dxa"/>
          </w:tcPr>
          <w:p>
            <w:pPr>
              <w:pStyle w:val="0"/>
              <w:jc w:val="center"/>
            </w:pPr>
            <w:r>
              <w:rPr>
                <w:sz w:val="24"/>
              </w:rPr>
              <w:t xml:space="preserve">МТиСР НСО</w:t>
            </w:r>
          </w:p>
        </w:tc>
        <w:tc>
          <w:tcPr>
            <w:tcW w:w="963" w:type="dxa"/>
          </w:tcPr>
          <w:p>
            <w:pPr>
              <w:pStyle w:val="0"/>
              <w:jc w:val="center"/>
            </w:pPr>
            <w:r>
              <w:rPr>
                <w:sz w:val="24"/>
              </w:rPr>
              <w:t xml:space="preserve">84,9</w:t>
            </w:r>
          </w:p>
        </w:tc>
        <w:tc>
          <w:tcPr>
            <w:tcW w:w="963" w:type="dxa"/>
          </w:tcPr>
          <w:p>
            <w:pPr>
              <w:pStyle w:val="0"/>
              <w:jc w:val="center"/>
            </w:pPr>
            <w:r>
              <w:rPr>
                <w:sz w:val="24"/>
              </w:rPr>
              <w:t xml:space="preserve">85,7</w:t>
            </w:r>
          </w:p>
        </w:tc>
        <w:tc>
          <w:tcPr>
            <w:tcW w:w="963" w:type="dxa"/>
          </w:tcPr>
          <w:p>
            <w:pPr>
              <w:pStyle w:val="0"/>
              <w:jc w:val="center"/>
            </w:pPr>
            <w:r>
              <w:rPr>
                <w:sz w:val="24"/>
              </w:rPr>
              <w:t xml:space="preserve">89,9</w:t>
            </w:r>
          </w:p>
        </w:tc>
        <w:tc>
          <w:tcPr>
            <w:tcW w:w="963" w:type="dxa"/>
          </w:tcPr>
          <w:p>
            <w:pPr>
              <w:pStyle w:val="0"/>
              <w:jc w:val="center"/>
            </w:pPr>
            <w:r>
              <w:rPr>
                <w:sz w:val="24"/>
              </w:rPr>
              <w:t xml:space="preserve">80,0</w:t>
            </w:r>
          </w:p>
        </w:tc>
        <w:tc>
          <w:tcPr>
            <w:tcW w:w="963" w:type="dxa"/>
          </w:tcPr>
          <w:p>
            <w:pPr>
              <w:pStyle w:val="0"/>
              <w:jc w:val="center"/>
            </w:pPr>
            <w:r>
              <w:rPr>
                <w:sz w:val="24"/>
              </w:rPr>
              <w:t xml:space="preserve">45,5</w:t>
            </w:r>
          </w:p>
        </w:tc>
        <w:tc>
          <w:tcPr>
            <w:tcW w:w="963" w:type="dxa"/>
          </w:tcPr>
          <w:p>
            <w:pPr>
              <w:pStyle w:val="0"/>
              <w:jc w:val="center"/>
            </w:pPr>
            <w:r>
              <w:rPr>
                <w:sz w:val="24"/>
              </w:rPr>
              <w:t xml:space="preserve">64,0</w:t>
            </w:r>
          </w:p>
        </w:tc>
        <w:tc>
          <w:tcPr>
            <w:tcW w:w="963" w:type="dxa"/>
          </w:tcPr>
          <w:p>
            <w:pPr>
              <w:pStyle w:val="0"/>
              <w:jc w:val="center"/>
            </w:pPr>
            <w:r>
              <w:rPr>
                <w:sz w:val="24"/>
              </w:rPr>
              <w:t xml:space="preserve">62,7</w:t>
            </w:r>
          </w:p>
        </w:tc>
        <w:tc>
          <w:tcPr>
            <w:tcW w:w="963" w:type="dxa"/>
          </w:tcPr>
          <w:p>
            <w:pPr>
              <w:pStyle w:val="0"/>
              <w:jc w:val="center"/>
            </w:pPr>
            <w:r>
              <w:rPr>
                <w:sz w:val="24"/>
              </w:rPr>
              <w:t xml:space="preserve">57,5</w:t>
            </w:r>
          </w:p>
        </w:tc>
        <w:tc>
          <w:tcPr>
            <w:tcW w:w="963" w:type="dxa"/>
          </w:tcPr>
          <w:p>
            <w:pPr>
              <w:pStyle w:val="0"/>
              <w:jc w:val="center"/>
            </w:pPr>
            <w:r>
              <w:rPr>
                <w:sz w:val="24"/>
              </w:rPr>
              <w:t xml:space="preserve">58,7</w:t>
            </w:r>
          </w:p>
        </w:tc>
        <w:tc>
          <w:tcPr>
            <w:tcW w:w="963" w:type="dxa"/>
          </w:tcPr>
          <w:p>
            <w:pPr>
              <w:pStyle w:val="0"/>
              <w:jc w:val="center"/>
            </w:pPr>
            <w:r>
              <w:rPr>
                <w:sz w:val="24"/>
              </w:rPr>
              <w:t xml:space="preserve">59,9</w:t>
            </w:r>
          </w:p>
        </w:tc>
        <w:tc>
          <w:tcPr>
            <w:tcW w:w="963" w:type="dxa"/>
          </w:tcPr>
          <w:p>
            <w:pPr>
              <w:pStyle w:val="0"/>
              <w:jc w:val="center"/>
            </w:pPr>
            <w:r>
              <w:rPr>
                <w:sz w:val="24"/>
              </w:rPr>
              <w:t xml:space="preserve">59,9</w:t>
            </w:r>
          </w:p>
        </w:tc>
        <w:tc>
          <w:tcPr>
            <w:tcW w:w="963" w:type="dxa"/>
          </w:tcPr>
          <w:p>
            <w:pPr>
              <w:pStyle w:val="0"/>
              <w:jc w:val="center"/>
            </w:pPr>
            <w:r>
              <w:rPr>
                <w:sz w:val="24"/>
              </w:rPr>
              <w:t xml:space="preserve">59,9</w:t>
            </w:r>
          </w:p>
        </w:tc>
        <w:tc>
          <w:tcPr>
            <w:tcW w:w="963" w:type="dxa"/>
          </w:tcPr>
          <w:p>
            <w:pPr>
              <w:pStyle w:val="0"/>
              <w:jc w:val="center"/>
            </w:pPr>
            <w:r>
              <w:rPr>
                <w:sz w:val="24"/>
              </w:rPr>
              <w:t xml:space="preserve">59,9</w:t>
            </w:r>
          </w:p>
        </w:tc>
        <w:tc>
          <w:tcPr>
            <w:tcW w:w="963" w:type="dxa"/>
          </w:tcPr>
          <w:p>
            <w:pPr>
              <w:pStyle w:val="0"/>
              <w:jc w:val="center"/>
            </w:pPr>
            <w:r>
              <w:rPr>
                <w:sz w:val="24"/>
              </w:rPr>
              <w:t xml:space="preserve">59,9</w:t>
            </w:r>
          </w:p>
        </w:tc>
        <w:tc>
          <w:tcPr>
            <w:tcW w:w="963" w:type="dxa"/>
          </w:tcPr>
          <w:p>
            <w:pPr>
              <w:pStyle w:val="0"/>
            </w:pPr>
            <w:r>
              <w:rPr>
                <w:sz w:val="24"/>
              </w:rPr>
            </w:r>
          </w:p>
        </w:tc>
      </w:tr>
      <w:tr>
        <w:tc>
          <w:tcPr>
            <w:tcW w:w="2608" w:type="dxa"/>
          </w:tcPr>
          <w:p>
            <w:pPr>
              <w:pStyle w:val="0"/>
              <w:jc w:val="both"/>
            </w:pPr>
            <w:r>
              <w:rPr>
                <w:sz w:val="24"/>
              </w:rPr>
              <w:t xml:space="preserve">6. Уровень регистрируемой безработицы</w:t>
            </w:r>
          </w:p>
        </w:tc>
        <w:tc>
          <w:tcPr>
            <w:tcW w:w="1020" w:type="dxa"/>
          </w:tcPr>
          <w:p>
            <w:pPr>
              <w:pStyle w:val="0"/>
              <w:jc w:val="center"/>
            </w:pPr>
            <w:r>
              <w:rPr>
                <w:sz w:val="24"/>
              </w:rPr>
              <w:t xml:space="preserve">%</w:t>
            </w:r>
          </w:p>
        </w:tc>
        <w:tc>
          <w:tcPr>
            <w:tcW w:w="1247" w:type="dxa"/>
          </w:tcPr>
          <w:p>
            <w:pPr>
              <w:pStyle w:val="0"/>
              <w:jc w:val="center"/>
            </w:pPr>
            <w:r>
              <w:rPr>
                <w:sz w:val="24"/>
              </w:rPr>
              <w:t xml:space="preserve">МТиСР НСО</w:t>
            </w:r>
          </w:p>
        </w:tc>
        <w:tc>
          <w:tcPr>
            <w:tcW w:w="963" w:type="dxa"/>
          </w:tcPr>
          <w:p>
            <w:pPr>
              <w:pStyle w:val="0"/>
              <w:jc w:val="center"/>
            </w:pPr>
            <w:r>
              <w:rPr>
                <w:sz w:val="24"/>
              </w:rPr>
              <w:t xml:space="preserve">0,9</w:t>
            </w:r>
          </w:p>
        </w:tc>
        <w:tc>
          <w:tcPr>
            <w:tcW w:w="963" w:type="dxa"/>
          </w:tcPr>
          <w:p>
            <w:pPr>
              <w:pStyle w:val="0"/>
              <w:jc w:val="center"/>
            </w:pPr>
            <w:r>
              <w:rPr>
                <w:sz w:val="24"/>
              </w:rPr>
              <w:t xml:space="preserve">0,8</w:t>
            </w:r>
          </w:p>
        </w:tc>
        <w:tc>
          <w:tcPr>
            <w:tcW w:w="963" w:type="dxa"/>
          </w:tcPr>
          <w:p>
            <w:pPr>
              <w:pStyle w:val="0"/>
              <w:jc w:val="center"/>
            </w:pPr>
            <w:r>
              <w:rPr>
                <w:sz w:val="24"/>
              </w:rPr>
              <w:t xml:space="preserve">0,9</w:t>
            </w:r>
          </w:p>
        </w:tc>
        <w:tc>
          <w:tcPr>
            <w:tcW w:w="963" w:type="dxa"/>
          </w:tcPr>
          <w:p>
            <w:pPr>
              <w:pStyle w:val="0"/>
              <w:jc w:val="center"/>
            </w:pPr>
            <w:r>
              <w:rPr>
                <w:sz w:val="24"/>
              </w:rPr>
              <w:t xml:space="preserve">5,1</w:t>
            </w:r>
          </w:p>
        </w:tc>
        <w:tc>
          <w:tcPr>
            <w:tcW w:w="963" w:type="dxa"/>
          </w:tcPr>
          <w:p>
            <w:pPr>
              <w:pStyle w:val="0"/>
              <w:jc w:val="center"/>
            </w:pPr>
            <w:r>
              <w:rPr>
                <w:sz w:val="24"/>
              </w:rPr>
              <w:t xml:space="preserve">1,8</w:t>
            </w:r>
          </w:p>
        </w:tc>
        <w:tc>
          <w:tcPr>
            <w:tcW w:w="963" w:type="dxa"/>
          </w:tcPr>
          <w:p>
            <w:pPr>
              <w:pStyle w:val="0"/>
              <w:jc w:val="center"/>
            </w:pPr>
            <w:r>
              <w:rPr>
                <w:sz w:val="24"/>
              </w:rPr>
              <w:t xml:space="preserve">0,9</w:t>
            </w:r>
          </w:p>
        </w:tc>
        <w:tc>
          <w:tcPr>
            <w:tcW w:w="963" w:type="dxa"/>
          </w:tcPr>
          <w:p>
            <w:pPr>
              <w:pStyle w:val="0"/>
              <w:jc w:val="center"/>
            </w:pPr>
            <w:r>
              <w:rPr>
                <w:sz w:val="24"/>
              </w:rPr>
              <w:t xml:space="preserve">0,6</w:t>
            </w:r>
          </w:p>
        </w:tc>
        <w:tc>
          <w:tcPr>
            <w:tcW w:w="963" w:type="dxa"/>
          </w:tcPr>
          <w:p>
            <w:pPr>
              <w:pStyle w:val="0"/>
              <w:jc w:val="center"/>
            </w:pPr>
            <w:r>
              <w:rPr>
                <w:sz w:val="24"/>
              </w:rPr>
              <w:t xml:space="preserve">1,0</w:t>
            </w:r>
          </w:p>
        </w:tc>
        <w:tc>
          <w:tcPr>
            <w:tcW w:w="963" w:type="dxa"/>
          </w:tcPr>
          <w:p>
            <w:pPr>
              <w:pStyle w:val="0"/>
              <w:jc w:val="center"/>
            </w:pPr>
            <w:r>
              <w:rPr>
                <w:sz w:val="24"/>
              </w:rPr>
              <w:t xml:space="preserve">1,0</w:t>
            </w:r>
          </w:p>
        </w:tc>
        <w:tc>
          <w:tcPr>
            <w:tcW w:w="963" w:type="dxa"/>
          </w:tcPr>
          <w:p>
            <w:pPr>
              <w:pStyle w:val="0"/>
              <w:jc w:val="center"/>
            </w:pPr>
            <w:r>
              <w:rPr>
                <w:sz w:val="24"/>
              </w:rPr>
              <w:t xml:space="preserve">1,0</w:t>
            </w:r>
          </w:p>
        </w:tc>
        <w:tc>
          <w:tcPr>
            <w:tcW w:w="963" w:type="dxa"/>
          </w:tcPr>
          <w:p>
            <w:pPr>
              <w:pStyle w:val="0"/>
              <w:jc w:val="center"/>
            </w:pPr>
            <w:r>
              <w:rPr>
                <w:sz w:val="24"/>
              </w:rPr>
              <w:t xml:space="preserve">1,0</w:t>
            </w:r>
          </w:p>
        </w:tc>
        <w:tc>
          <w:tcPr>
            <w:tcW w:w="963" w:type="dxa"/>
          </w:tcPr>
          <w:p>
            <w:pPr>
              <w:pStyle w:val="0"/>
              <w:jc w:val="center"/>
            </w:pPr>
            <w:r>
              <w:rPr>
                <w:sz w:val="24"/>
              </w:rPr>
              <w:t xml:space="preserve">1,0</w:t>
            </w:r>
          </w:p>
        </w:tc>
        <w:tc>
          <w:tcPr>
            <w:tcW w:w="963" w:type="dxa"/>
          </w:tcPr>
          <w:p>
            <w:pPr>
              <w:pStyle w:val="0"/>
              <w:jc w:val="center"/>
            </w:pPr>
            <w:r>
              <w:rPr>
                <w:sz w:val="24"/>
              </w:rPr>
              <w:t xml:space="preserve">1,0</w:t>
            </w:r>
          </w:p>
        </w:tc>
        <w:tc>
          <w:tcPr>
            <w:tcW w:w="963" w:type="dxa"/>
          </w:tcPr>
          <w:p>
            <w:pPr>
              <w:pStyle w:val="0"/>
              <w:jc w:val="center"/>
            </w:pPr>
            <w:r>
              <w:rPr>
                <w:sz w:val="24"/>
              </w:rPr>
              <w:t xml:space="preserve">1,0</w:t>
            </w:r>
          </w:p>
        </w:tc>
        <w:tc>
          <w:tcPr>
            <w:tcW w:w="963" w:type="dxa"/>
          </w:tcPr>
          <w:p>
            <w:pPr>
              <w:pStyle w:val="0"/>
            </w:pPr>
            <w:r>
              <w:rPr>
                <w:sz w:val="24"/>
              </w:rPr>
            </w:r>
          </w:p>
        </w:tc>
      </w:tr>
      <w:tr>
        <w:tc>
          <w:tcPr>
            <w:tcW w:w="2608" w:type="dxa"/>
          </w:tcPr>
          <w:p>
            <w:pPr>
              <w:pStyle w:val="0"/>
              <w:jc w:val="both"/>
            </w:pPr>
            <w:r>
              <w:rPr>
                <w:sz w:val="24"/>
              </w:rPr>
              <w:t xml:space="preserve">7. Коэффициент напряженности на рынке труда на конец года</w:t>
            </w:r>
          </w:p>
        </w:tc>
        <w:tc>
          <w:tcPr>
            <w:tcW w:w="1020" w:type="dxa"/>
          </w:tcPr>
          <w:p>
            <w:pPr>
              <w:pStyle w:val="0"/>
              <w:jc w:val="center"/>
            </w:pPr>
            <w:r>
              <w:rPr>
                <w:sz w:val="24"/>
              </w:rPr>
              <w:t xml:space="preserve">единица</w:t>
            </w:r>
          </w:p>
        </w:tc>
        <w:tc>
          <w:tcPr>
            <w:tcW w:w="1247" w:type="dxa"/>
          </w:tcPr>
          <w:p>
            <w:pPr>
              <w:pStyle w:val="0"/>
              <w:jc w:val="center"/>
            </w:pPr>
            <w:r>
              <w:rPr>
                <w:sz w:val="24"/>
              </w:rPr>
              <w:t xml:space="preserve">МТиСР НСО</w:t>
            </w:r>
          </w:p>
        </w:tc>
        <w:tc>
          <w:tcPr>
            <w:tcW w:w="963" w:type="dxa"/>
          </w:tcPr>
          <w:p>
            <w:pPr>
              <w:pStyle w:val="0"/>
              <w:jc w:val="center"/>
            </w:pPr>
            <w:r>
              <w:rPr>
                <w:sz w:val="24"/>
              </w:rPr>
              <w:t xml:space="preserve">0,7</w:t>
            </w:r>
          </w:p>
        </w:tc>
        <w:tc>
          <w:tcPr>
            <w:tcW w:w="963" w:type="dxa"/>
          </w:tcPr>
          <w:p>
            <w:pPr>
              <w:pStyle w:val="0"/>
              <w:jc w:val="center"/>
            </w:pPr>
            <w:r>
              <w:rPr>
                <w:sz w:val="24"/>
              </w:rPr>
              <w:t xml:space="preserve">0,5</w:t>
            </w:r>
          </w:p>
        </w:tc>
        <w:tc>
          <w:tcPr>
            <w:tcW w:w="963" w:type="dxa"/>
          </w:tcPr>
          <w:p>
            <w:pPr>
              <w:pStyle w:val="0"/>
              <w:jc w:val="center"/>
            </w:pPr>
            <w:r>
              <w:rPr>
                <w:sz w:val="24"/>
              </w:rPr>
              <w:t xml:space="preserve">0,5</w:t>
            </w:r>
          </w:p>
        </w:tc>
        <w:tc>
          <w:tcPr>
            <w:tcW w:w="963" w:type="dxa"/>
          </w:tcPr>
          <w:p>
            <w:pPr>
              <w:pStyle w:val="0"/>
              <w:jc w:val="center"/>
            </w:pPr>
            <w:r>
              <w:rPr>
                <w:sz w:val="24"/>
              </w:rPr>
              <w:t xml:space="preserve">2,0</w:t>
            </w:r>
          </w:p>
        </w:tc>
        <w:tc>
          <w:tcPr>
            <w:tcW w:w="963" w:type="dxa"/>
          </w:tcPr>
          <w:p>
            <w:pPr>
              <w:pStyle w:val="0"/>
              <w:jc w:val="center"/>
            </w:pPr>
            <w:r>
              <w:rPr>
                <w:sz w:val="24"/>
              </w:rPr>
              <w:t xml:space="preserve">0,5</w:t>
            </w:r>
          </w:p>
        </w:tc>
        <w:tc>
          <w:tcPr>
            <w:tcW w:w="963" w:type="dxa"/>
          </w:tcPr>
          <w:p>
            <w:pPr>
              <w:pStyle w:val="0"/>
              <w:jc w:val="center"/>
            </w:pPr>
            <w:r>
              <w:rPr>
                <w:sz w:val="24"/>
              </w:rPr>
              <w:t xml:space="preserve">0,4</w:t>
            </w:r>
          </w:p>
        </w:tc>
        <w:tc>
          <w:tcPr>
            <w:tcW w:w="963" w:type="dxa"/>
          </w:tcPr>
          <w:p>
            <w:pPr>
              <w:pStyle w:val="0"/>
              <w:jc w:val="center"/>
            </w:pPr>
            <w:r>
              <w:rPr>
                <w:sz w:val="24"/>
              </w:rPr>
              <w:t xml:space="preserve">0,2</w:t>
            </w:r>
          </w:p>
        </w:tc>
        <w:tc>
          <w:tcPr>
            <w:tcW w:w="963" w:type="dxa"/>
          </w:tcPr>
          <w:p>
            <w:pPr>
              <w:pStyle w:val="0"/>
              <w:jc w:val="center"/>
            </w:pPr>
            <w:r>
              <w:rPr>
                <w:sz w:val="24"/>
              </w:rPr>
              <w:t xml:space="preserve">0,6</w:t>
            </w:r>
          </w:p>
        </w:tc>
        <w:tc>
          <w:tcPr>
            <w:tcW w:w="963" w:type="dxa"/>
          </w:tcPr>
          <w:p>
            <w:pPr>
              <w:pStyle w:val="0"/>
              <w:jc w:val="center"/>
            </w:pPr>
            <w:r>
              <w:rPr>
                <w:sz w:val="24"/>
              </w:rPr>
              <w:t xml:space="preserve">0,6</w:t>
            </w:r>
          </w:p>
        </w:tc>
        <w:tc>
          <w:tcPr>
            <w:tcW w:w="963" w:type="dxa"/>
          </w:tcPr>
          <w:p>
            <w:pPr>
              <w:pStyle w:val="0"/>
              <w:jc w:val="center"/>
            </w:pPr>
            <w:r>
              <w:rPr>
                <w:sz w:val="24"/>
              </w:rPr>
              <w:t xml:space="preserve">0,6</w:t>
            </w:r>
          </w:p>
        </w:tc>
        <w:tc>
          <w:tcPr>
            <w:tcW w:w="963" w:type="dxa"/>
          </w:tcPr>
          <w:p>
            <w:pPr>
              <w:pStyle w:val="0"/>
              <w:jc w:val="center"/>
            </w:pPr>
            <w:r>
              <w:rPr>
                <w:sz w:val="24"/>
              </w:rPr>
              <w:t xml:space="preserve">0,5</w:t>
            </w:r>
          </w:p>
        </w:tc>
        <w:tc>
          <w:tcPr>
            <w:tcW w:w="963" w:type="dxa"/>
          </w:tcPr>
          <w:p>
            <w:pPr>
              <w:pStyle w:val="0"/>
              <w:jc w:val="center"/>
            </w:pPr>
            <w:r>
              <w:rPr>
                <w:sz w:val="24"/>
              </w:rPr>
              <w:t xml:space="preserve">0,5</w:t>
            </w:r>
          </w:p>
        </w:tc>
        <w:tc>
          <w:tcPr>
            <w:tcW w:w="963" w:type="dxa"/>
          </w:tcPr>
          <w:p>
            <w:pPr>
              <w:pStyle w:val="0"/>
              <w:jc w:val="center"/>
            </w:pPr>
            <w:r>
              <w:rPr>
                <w:sz w:val="24"/>
              </w:rPr>
              <w:t xml:space="preserve">0,5</w:t>
            </w:r>
          </w:p>
        </w:tc>
        <w:tc>
          <w:tcPr>
            <w:tcW w:w="963" w:type="dxa"/>
          </w:tcPr>
          <w:p>
            <w:pPr>
              <w:pStyle w:val="0"/>
              <w:jc w:val="center"/>
            </w:pPr>
            <w:r>
              <w:rPr>
                <w:sz w:val="24"/>
              </w:rPr>
              <w:t xml:space="preserve">0,5</w:t>
            </w:r>
          </w:p>
        </w:tc>
        <w:tc>
          <w:tcPr>
            <w:tcW w:w="963" w:type="dxa"/>
          </w:tcPr>
          <w:p>
            <w:pPr>
              <w:pStyle w:val="0"/>
            </w:pPr>
            <w:r>
              <w:rPr>
                <w:sz w:val="24"/>
              </w:rPr>
            </w:r>
          </w:p>
        </w:tc>
      </w:tr>
      <w:tr>
        <w:tc>
          <w:tcPr>
            <w:tcW w:w="2608" w:type="dxa"/>
          </w:tcPr>
          <w:p>
            <w:pPr>
              <w:pStyle w:val="0"/>
              <w:jc w:val="both"/>
            </w:pPr>
            <w:r>
              <w:rPr>
                <w:sz w:val="24"/>
              </w:rPr>
              <w:t xml:space="preserve">8. Доля трудоустроенных граждан в общей численности граждан, обратившихся за содействием в поиске подходящей работы</w:t>
            </w:r>
          </w:p>
        </w:tc>
        <w:tc>
          <w:tcPr>
            <w:tcW w:w="1020" w:type="dxa"/>
          </w:tcPr>
          <w:p>
            <w:pPr>
              <w:pStyle w:val="0"/>
              <w:jc w:val="center"/>
            </w:pPr>
            <w:r>
              <w:rPr>
                <w:sz w:val="24"/>
              </w:rPr>
              <w:t xml:space="preserve">%</w:t>
            </w:r>
          </w:p>
        </w:tc>
        <w:tc>
          <w:tcPr>
            <w:tcW w:w="1247" w:type="dxa"/>
          </w:tcPr>
          <w:p>
            <w:pPr>
              <w:pStyle w:val="0"/>
              <w:jc w:val="center"/>
            </w:pPr>
            <w:r>
              <w:rPr>
                <w:sz w:val="24"/>
              </w:rPr>
              <w:t xml:space="preserve">МТиСР НСО</w:t>
            </w:r>
          </w:p>
        </w:tc>
        <w:tc>
          <w:tcPr>
            <w:tcW w:w="963" w:type="dxa"/>
          </w:tcPr>
          <w:p>
            <w:pPr>
              <w:pStyle w:val="0"/>
              <w:jc w:val="center"/>
            </w:pPr>
            <w:r>
              <w:rPr>
                <w:sz w:val="24"/>
              </w:rPr>
              <w:t xml:space="preserve">73,9</w:t>
            </w:r>
          </w:p>
        </w:tc>
        <w:tc>
          <w:tcPr>
            <w:tcW w:w="963" w:type="dxa"/>
          </w:tcPr>
          <w:p>
            <w:pPr>
              <w:pStyle w:val="0"/>
              <w:jc w:val="center"/>
            </w:pPr>
            <w:r>
              <w:rPr>
                <w:sz w:val="24"/>
              </w:rPr>
              <w:t xml:space="preserve">74,4</w:t>
            </w:r>
          </w:p>
        </w:tc>
        <w:tc>
          <w:tcPr>
            <w:tcW w:w="963" w:type="dxa"/>
          </w:tcPr>
          <w:p>
            <w:pPr>
              <w:pStyle w:val="0"/>
              <w:jc w:val="center"/>
            </w:pPr>
            <w:r>
              <w:rPr>
                <w:sz w:val="24"/>
              </w:rPr>
              <w:t xml:space="preserve">73,7</w:t>
            </w:r>
          </w:p>
        </w:tc>
        <w:tc>
          <w:tcPr>
            <w:tcW w:w="963" w:type="dxa"/>
          </w:tcPr>
          <w:p>
            <w:pPr>
              <w:pStyle w:val="0"/>
              <w:jc w:val="center"/>
            </w:pPr>
            <w:r>
              <w:rPr>
                <w:sz w:val="24"/>
              </w:rPr>
              <w:t xml:space="preserve">46,1</w:t>
            </w:r>
          </w:p>
        </w:tc>
        <w:tc>
          <w:tcPr>
            <w:tcW w:w="963" w:type="dxa"/>
          </w:tcPr>
          <w:p>
            <w:pPr>
              <w:pStyle w:val="0"/>
              <w:jc w:val="center"/>
            </w:pPr>
            <w:r>
              <w:rPr>
                <w:sz w:val="24"/>
              </w:rPr>
              <w:t xml:space="preserve">72,0</w:t>
            </w:r>
          </w:p>
        </w:tc>
        <w:tc>
          <w:tcPr>
            <w:tcW w:w="963" w:type="dxa"/>
          </w:tcPr>
          <w:p>
            <w:pPr>
              <w:pStyle w:val="0"/>
              <w:jc w:val="center"/>
            </w:pPr>
            <w:r>
              <w:rPr>
                <w:sz w:val="24"/>
              </w:rPr>
              <w:t xml:space="preserve">73,5</w:t>
            </w:r>
          </w:p>
        </w:tc>
        <w:tc>
          <w:tcPr>
            <w:tcW w:w="963" w:type="dxa"/>
          </w:tcPr>
          <w:p>
            <w:pPr>
              <w:pStyle w:val="0"/>
              <w:jc w:val="center"/>
            </w:pPr>
            <w:r>
              <w:rPr>
                <w:sz w:val="24"/>
              </w:rPr>
              <w:t xml:space="preserve">78,2</w:t>
            </w:r>
          </w:p>
        </w:tc>
        <w:tc>
          <w:tcPr>
            <w:tcW w:w="963" w:type="dxa"/>
          </w:tcPr>
          <w:p>
            <w:pPr>
              <w:pStyle w:val="0"/>
              <w:jc w:val="center"/>
            </w:pPr>
            <w:r>
              <w:rPr>
                <w:sz w:val="24"/>
              </w:rPr>
              <w:t xml:space="preserve">70,5</w:t>
            </w:r>
          </w:p>
        </w:tc>
        <w:tc>
          <w:tcPr>
            <w:tcW w:w="963" w:type="dxa"/>
          </w:tcPr>
          <w:p>
            <w:pPr>
              <w:pStyle w:val="0"/>
              <w:jc w:val="center"/>
            </w:pPr>
            <w:r>
              <w:rPr>
                <w:sz w:val="24"/>
              </w:rPr>
              <w:t xml:space="preserve">71,0</w:t>
            </w:r>
          </w:p>
        </w:tc>
        <w:tc>
          <w:tcPr>
            <w:tcW w:w="963" w:type="dxa"/>
          </w:tcPr>
          <w:p>
            <w:pPr>
              <w:pStyle w:val="0"/>
              <w:jc w:val="center"/>
            </w:pPr>
            <w:r>
              <w:rPr>
                <w:sz w:val="24"/>
              </w:rPr>
              <w:t xml:space="preserve">71,5</w:t>
            </w:r>
          </w:p>
        </w:tc>
        <w:tc>
          <w:tcPr>
            <w:tcW w:w="963" w:type="dxa"/>
          </w:tcPr>
          <w:p>
            <w:pPr>
              <w:pStyle w:val="0"/>
              <w:jc w:val="center"/>
            </w:pPr>
            <w:r>
              <w:rPr>
                <w:sz w:val="24"/>
              </w:rPr>
              <w:t xml:space="preserve">72,0</w:t>
            </w:r>
          </w:p>
        </w:tc>
        <w:tc>
          <w:tcPr>
            <w:tcW w:w="963" w:type="dxa"/>
          </w:tcPr>
          <w:p>
            <w:pPr>
              <w:pStyle w:val="0"/>
              <w:jc w:val="center"/>
            </w:pPr>
            <w:r>
              <w:rPr>
                <w:sz w:val="24"/>
              </w:rPr>
              <w:t xml:space="preserve">72,5</w:t>
            </w:r>
          </w:p>
        </w:tc>
        <w:tc>
          <w:tcPr>
            <w:tcW w:w="963" w:type="dxa"/>
          </w:tcPr>
          <w:p>
            <w:pPr>
              <w:pStyle w:val="0"/>
              <w:jc w:val="center"/>
            </w:pPr>
            <w:r>
              <w:rPr>
                <w:sz w:val="24"/>
              </w:rPr>
              <w:t xml:space="preserve">73,0</w:t>
            </w:r>
          </w:p>
        </w:tc>
        <w:tc>
          <w:tcPr>
            <w:tcW w:w="963" w:type="dxa"/>
          </w:tcPr>
          <w:p>
            <w:pPr>
              <w:pStyle w:val="0"/>
              <w:jc w:val="center"/>
            </w:pPr>
            <w:r>
              <w:rPr>
                <w:sz w:val="24"/>
              </w:rPr>
              <w:t xml:space="preserve">73,5</w:t>
            </w:r>
          </w:p>
        </w:tc>
        <w:tc>
          <w:tcPr>
            <w:tcW w:w="963" w:type="dxa"/>
          </w:tcPr>
          <w:p>
            <w:pPr>
              <w:pStyle w:val="0"/>
            </w:pPr>
            <w:r>
              <w:rPr>
                <w:sz w:val="24"/>
              </w:rPr>
            </w:r>
          </w:p>
        </w:tc>
      </w:tr>
    </w:tbl>
    <w:p>
      <w:pPr>
        <w:pStyle w:val="0"/>
        <w:ind w:firstLine="540"/>
        <w:jc w:val="both"/>
      </w:pPr>
      <w:r>
        <w:rPr>
          <w:sz w:val="24"/>
        </w:rPr>
      </w:r>
    </w:p>
    <w:p>
      <w:pPr>
        <w:pStyle w:val="0"/>
        <w:ind w:firstLine="540"/>
        <w:jc w:val="both"/>
      </w:pPr>
      <w:r>
        <w:rPr>
          <w:sz w:val="24"/>
        </w:rPr>
        <w:t xml:space="preserve">Применяемые сокращения:</w:t>
      </w:r>
    </w:p>
    <w:p>
      <w:pPr>
        <w:pStyle w:val="0"/>
        <w:spacing w:before="240"/>
        <w:ind w:firstLine="540"/>
        <w:jc w:val="both"/>
      </w:pPr>
      <w:r>
        <w:rPr>
          <w:sz w:val="24"/>
        </w:rPr>
        <w:t xml:space="preserve">МТиСР НСО - министерство труда и социального развития Новосибирской области;</w:t>
      </w:r>
    </w:p>
    <w:p>
      <w:pPr>
        <w:pStyle w:val="0"/>
        <w:spacing w:before="240"/>
        <w:ind w:firstLine="540"/>
        <w:jc w:val="both"/>
      </w:pPr>
      <w:r>
        <w:rPr>
          <w:sz w:val="24"/>
        </w:rPr>
        <w:t xml:space="preserve">МЭР НСО - министерство экономического развития Новосибирской области.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1"/>
      </w:pPr>
      <w:r>
        <w:rPr>
          <w:sz w:val="24"/>
        </w:rPr>
        <w:t xml:space="preserve">Приложение N 2</w:t>
      </w:r>
    </w:p>
    <w:p>
      <w:pPr>
        <w:pStyle w:val="0"/>
        <w:jc w:val="right"/>
      </w:pPr>
      <w:r>
        <w:rPr>
          <w:sz w:val="24"/>
        </w:rPr>
        <w:t xml:space="preserve">к региональной программе</w:t>
      </w:r>
    </w:p>
    <w:p>
      <w:pPr>
        <w:pStyle w:val="0"/>
        <w:jc w:val="right"/>
      </w:pPr>
      <w:r>
        <w:rPr>
          <w:sz w:val="24"/>
        </w:rPr>
        <w:t xml:space="preserve">Новосибирской области</w:t>
      </w:r>
    </w:p>
    <w:p>
      <w:pPr>
        <w:pStyle w:val="0"/>
        <w:jc w:val="right"/>
      </w:pPr>
      <w:r>
        <w:rPr>
          <w:sz w:val="24"/>
        </w:rPr>
        <w:t xml:space="preserve">"Снижение доли населения с</w:t>
      </w:r>
    </w:p>
    <w:p>
      <w:pPr>
        <w:pStyle w:val="0"/>
        <w:jc w:val="right"/>
      </w:pPr>
      <w:r>
        <w:rPr>
          <w:sz w:val="24"/>
        </w:rPr>
        <w:t xml:space="preserve">доходами ниже границы бедности</w:t>
      </w:r>
    </w:p>
    <w:p>
      <w:pPr>
        <w:pStyle w:val="0"/>
        <w:jc w:val="right"/>
      </w:pPr>
      <w:r>
        <w:rPr>
          <w:sz w:val="24"/>
        </w:rPr>
        <w:t xml:space="preserve">в Новосибирской области</w:t>
      </w:r>
    </w:p>
    <w:p>
      <w:pPr>
        <w:pStyle w:val="0"/>
        <w:jc w:val="right"/>
      </w:pPr>
      <w:r>
        <w:rPr>
          <w:sz w:val="24"/>
        </w:rPr>
        <w:t xml:space="preserve">на период до 2030 года"</w:t>
      </w:r>
    </w:p>
    <w:p>
      <w:pPr>
        <w:pStyle w:val="0"/>
        <w:ind w:firstLine="540"/>
        <w:jc w:val="both"/>
      </w:pPr>
      <w:r>
        <w:rPr>
          <w:sz w:val="24"/>
        </w:rPr>
      </w:r>
    </w:p>
    <w:bookmarkStart w:id="459" w:name="P459"/>
    <w:bookmarkEnd w:id="459"/>
    <w:p>
      <w:pPr>
        <w:pStyle w:val="2"/>
        <w:jc w:val="center"/>
      </w:pPr>
      <w:r>
        <w:rPr>
          <w:sz w:val="24"/>
        </w:rPr>
        <w:t xml:space="preserve">ПЛАН МЕРОПРИЯТИЙ</w:t>
      </w:r>
    </w:p>
    <w:p>
      <w:pPr>
        <w:pStyle w:val="2"/>
        <w:jc w:val="center"/>
      </w:pPr>
      <w:r>
        <w:rPr>
          <w:sz w:val="24"/>
        </w:rPr>
        <w:t xml:space="preserve">региональной программы Новосибирской области "Снижение доли</w:t>
      </w:r>
    </w:p>
    <w:p>
      <w:pPr>
        <w:pStyle w:val="2"/>
        <w:jc w:val="center"/>
      </w:pPr>
      <w:r>
        <w:rPr>
          <w:sz w:val="24"/>
        </w:rPr>
        <w:t xml:space="preserve">населения с денежными доходами ниже границы бедности</w:t>
      </w:r>
    </w:p>
    <w:p>
      <w:pPr>
        <w:pStyle w:val="2"/>
        <w:jc w:val="center"/>
      </w:pPr>
      <w:r>
        <w:rPr>
          <w:sz w:val="24"/>
        </w:rPr>
        <w:t xml:space="preserve">в Новосибирской области на период до 2030 года"</w:t>
      </w:r>
    </w:p>
    <w:p>
      <w:pPr>
        <w:pStyle w:val="0"/>
        <w:ind w:firstLine="54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5046"/>
        <w:gridCol w:w="1134"/>
        <w:gridCol w:w="1304"/>
        <w:gridCol w:w="2438"/>
        <w:gridCol w:w="1417"/>
        <w:gridCol w:w="1134"/>
        <w:gridCol w:w="1134"/>
      </w:tblGrid>
      <w:tr>
        <w:tc>
          <w:tcPr>
            <w:tcW w:w="5046" w:type="dxa"/>
          </w:tcPr>
          <w:p>
            <w:pPr>
              <w:pStyle w:val="0"/>
              <w:jc w:val="center"/>
            </w:pPr>
            <w:r>
              <w:rPr>
                <w:sz w:val="24"/>
              </w:rPr>
              <w:t xml:space="preserve">Наименование мероприятия</w:t>
            </w:r>
          </w:p>
        </w:tc>
        <w:tc>
          <w:tcPr>
            <w:tcW w:w="1134" w:type="dxa"/>
          </w:tcPr>
          <w:p>
            <w:pPr>
              <w:pStyle w:val="0"/>
              <w:jc w:val="center"/>
            </w:pPr>
            <w:r>
              <w:rPr>
                <w:sz w:val="24"/>
              </w:rPr>
              <w:t xml:space="preserve">Срок реализации мероприятия</w:t>
            </w:r>
          </w:p>
        </w:tc>
        <w:tc>
          <w:tcPr>
            <w:tcW w:w="1304" w:type="dxa"/>
          </w:tcPr>
          <w:p>
            <w:pPr>
              <w:pStyle w:val="0"/>
              <w:jc w:val="center"/>
            </w:pPr>
            <w:r>
              <w:rPr>
                <w:sz w:val="24"/>
              </w:rPr>
              <w:t xml:space="preserve">Исполнители мероприятий</w:t>
            </w:r>
          </w:p>
        </w:tc>
        <w:tc>
          <w:tcPr>
            <w:tcW w:w="2438" w:type="dxa"/>
          </w:tcPr>
          <w:p>
            <w:pPr>
              <w:pStyle w:val="0"/>
              <w:jc w:val="center"/>
            </w:pPr>
            <w:r>
              <w:rPr>
                <w:sz w:val="24"/>
              </w:rPr>
              <w:t xml:space="preserve">Ожидаемый результат реализации мероприятия</w:t>
            </w:r>
          </w:p>
        </w:tc>
        <w:tc>
          <w:tcPr>
            <w:tcW w:w="1417" w:type="dxa"/>
          </w:tcPr>
          <w:p>
            <w:pPr>
              <w:pStyle w:val="0"/>
              <w:jc w:val="center"/>
            </w:pPr>
            <w:r>
              <w:rPr>
                <w:sz w:val="24"/>
              </w:rPr>
              <w:t xml:space="preserve">Документ, подтверждающий исполнение мероприятия</w:t>
            </w:r>
          </w:p>
        </w:tc>
        <w:tc>
          <w:tcPr>
            <w:tcW w:w="1134" w:type="dxa"/>
          </w:tcPr>
          <w:p>
            <w:pPr>
              <w:pStyle w:val="0"/>
              <w:jc w:val="center"/>
            </w:pPr>
            <w:r>
              <w:rPr>
                <w:sz w:val="24"/>
              </w:rPr>
              <w:t xml:space="preserve">Номер целевого показателя региональной программы, на достижение которого направлены мероприятия</w:t>
            </w:r>
          </w:p>
        </w:tc>
        <w:tc>
          <w:tcPr>
            <w:tcW w:w="1134" w:type="dxa"/>
          </w:tcPr>
          <w:p>
            <w:pPr>
              <w:pStyle w:val="0"/>
              <w:jc w:val="center"/>
            </w:pPr>
            <w:r>
              <w:rPr>
                <w:sz w:val="24"/>
              </w:rPr>
              <w:t xml:space="preserve">Примечание</w:t>
            </w:r>
          </w:p>
        </w:tc>
      </w:tr>
      <w:tr>
        <w:tc>
          <w:tcPr>
            <w:tcW w:w="5046" w:type="dxa"/>
          </w:tcPr>
          <w:p>
            <w:pPr>
              <w:pStyle w:val="0"/>
              <w:jc w:val="center"/>
            </w:pPr>
            <w:r>
              <w:rPr>
                <w:sz w:val="24"/>
              </w:rPr>
              <w:t xml:space="preserve">1</w:t>
            </w:r>
          </w:p>
        </w:tc>
        <w:tc>
          <w:tcPr>
            <w:tcW w:w="1134" w:type="dxa"/>
          </w:tcPr>
          <w:p>
            <w:pPr>
              <w:pStyle w:val="0"/>
              <w:jc w:val="center"/>
            </w:pPr>
            <w:r>
              <w:rPr>
                <w:sz w:val="24"/>
              </w:rPr>
              <w:t xml:space="preserve">2</w:t>
            </w:r>
          </w:p>
        </w:tc>
        <w:tc>
          <w:tcPr>
            <w:tcW w:w="1304" w:type="dxa"/>
          </w:tcPr>
          <w:p>
            <w:pPr>
              <w:pStyle w:val="0"/>
              <w:jc w:val="center"/>
            </w:pPr>
            <w:r>
              <w:rPr>
                <w:sz w:val="24"/>
              </w:rPr>
              <w:t xml:space="preserve">3</w:t>
            </w:r>
          </w:p>
        </w:tc>
        <w:tc>
          <w:tcPr>
            <w:tcW w:w="2438" w:type="dxa"/>
          </w:tcPr>
          <w:p>
            <w:pPr>
              <w:pStyle w:val="0"/>
              <w:jc w:val="center"/>
            </w:pPr>
            <w:r>
              <w:rPr>
                <w:sz w:val="24"/>
              </w:rPr>
              <w:t xml:space="preserve">4</w:t>
            </w:r>
          </w:p>
        </w:tc>
        <w:tc>
          <w:tcPr>
            <w:tcW w:w="1417" w:type="dxa"/>
          </w:tcPr>
          <w:p>
            <w:pPr>
              <w:pStyle w:val="0"/>
              <w:jc w:val="center"/>
            </w:pPr>
            <w:r>
              <w:rPr>
                <w:sz w:val="24"/>
              </w:rPr>
              <w:t xml:space="preserve">5</w:t>
            </w:r>
          </w:p>
        </w:tc>
        <w:tc>
          <w:tcPr>
            <w:tcW w:w="1134" w:type="dxa"/>
          </w:tcPr>
          <w:p>
            <w:pPr>
              <w:pStyle w:val="0"/>
              <w:jc w:val="center"/>
            </w:pPr>
            <w:r>
              <w:rPr>
                <w:sz w:val="24"/>
              </w:rPr>
              <w:t xml:space="preserve">6</w:t>
            </w:r>
          </w:p>
        </w:tc>
        <w:tc>
          <w:tcPr>
            <w:tcW w:w="1134" w:type="dxa"/>
          </w:tcPr>
          <w:p>
            <w:pPr>
              <w:pStyle w:val="0"/>
              <w:jc w:val="center"/>
            </w:pPr>
            <w:r>
              <w:rPr>
                <w:sz w:val="24"/>
              </w:rPr>
              <w:t xml:space="preserve">7</w:t>
            </w:r>
          </w:p>
        </w:tc>
      </w:tr>
      <w:tr>
        <w:tc>
          <w:tcPr>
            <w:tcW w:w="13607" w:type="dxa"/>
            <w:gridSpan w:val="7"/>
          </w:tcPr>
          <w:p>
            <w:pPr>
              <w:pStyle w:val="0"/>
              <w:jc w:val="center"/>
              <w:outlineLvl w:val="2"/>
            </w:pPr>
            <w:r>
              <w:rPr>
                <w:sz w:val="24"/>
              </w:rPr>
              <w:t xml:space="preserve">Цель: обеспечение устойчивого роста доходов населения и снижение уровня бедности ниже 7 процентов к 2030 году</w:t>
            </w:r>
          </w:p>
        </w:tc>
      </w:tr>
      <w:tr>
        <w:tc>
          <w:tcPr>
            <w:tcW w:w="13607" w:type="dxa"/>
            <w:gridSpan w:val="7"/>
          </w:tcPr>
          <w:p>
            <w:pPr>
              <w:pStyle w:val="0"/>
              <w:jc w:val="center"/>
              <w:outlineLvl w:val="3"/>
            </w:pPr>
            <w:r>
              <w:rPr>
                <w:sz w:val="24"/>
              </w:rPr>
              <w:t xml:space="preserve">Задача 1. Повышение денежных доходов граждан</w:t>
            </w:r>
          </w:p>
        </w:tc>
      </w:tr>
      <w:tr>
        <w:tc>
          <w:tcPr>
            <w:tcW w:w="5046" w:type="dxa"/>
          </w:tcPr>
          <w:p>
            <w:pPr>
              <w:pStyle w:val="0"/>
              <w:jc w:val="both"/>
            </w:pPr>
            <w:r>
              <w:rPr>
                <w:sz w:val="24"/>
              </w:rPr>
              <w:t xml:space="preserve">1.1. Повышение оплаты труда работников организаций бюджетной сферы, включая сохранение, установленных в Указах Президента Российской Федерации от 07.05.2012 </w:t>
            </w:r>
            <w:hyperlink r:id="rId48" w:tooltip="Указ Президента РФ от 07.05.2012 N 597 &quot;О мероприятиях по реализации государственной социальной политики&quot; {КонсультантПлюс}" w:history="0">
              <w:r>
                <w:rPr>
                  <w:color w:val="0000ff"/>
                  <w:sz w:val="24"/>
                </w:rPr>
                <w:t xml:space="preserve">N 597</w:t>
              </w:r>
            </w:hyperlink>
            <w:r>
              <w:rPr>
                <w:sz w:val="24"/>
              </w:rPr>
              <w:t xml:space="preserve"> "О мероприятиях по реализации государственной социальной политики", от 01.06.2012 </w:t>
            </w:r>
            <w:hyperlink r:id="rId49" w:tooltip="Указ Президента РФ от 01.06.2012 N 761 &quot;О Национальной стратегии действий в интересах детей на 2012 - 2017 годы&quot; {КонсультантПлюс}" w:history="0">
              <w:r>
                <w:rPr>
                  <w:color w:val="0000ff"/>
                  <w:sz w:val="24"/>
                </w:rPr>
                <w:t xml:space="preserve">N 761</w:t>
              </w:r>
            </w:hyperlink>
            <w:r>
              <w:rPr>
                <w:sz w:val="24"/>
              </w:rPr>
              <w:t xml:space="preserve"> "О Национальной стратегии действий в интересах детей на 2012 - 2017 годы", от 28.12.2012 </w:t>
            </w:r>
            <w:hyperlink r:id="rId50" w:tooltip="Указ Президента РФ от 28.12.2012 N 1688 (ред. от 14.11.2017) &quot;О некоторых мерах по реализации государственной политики в сфере защиты детей-сирот и детей, оставшихся без попечения родителей&quot; {КонсультантПлюс}" w:history="0">
              <w:r>
                <w:rPr>
                  <w:color w:val="0000ff"/>
                  <w:sz w:val="24"/>
                </w:rPr>
                <w:t xml:space="preserve">N 1688</w:t>
              </w:r>
            </w:hyperlink>
            <w:r>
              <w:rPr>
                <w:sz w:val="24"/>
              </w:rPr>
              <w:t xml:space="preserve"> "О некоторых мерах по реализации государственной политики в сфере защиты детей-сирот и детей, оставшихся без попечения родителей", соотношений средней заработной платы работников бюджетной сферы к среднемесячному доходу от трудовой деятельности в регионе и индексацию заработной платы в связи с ростом потребительских цен на товары и услуги (в пределах средств, предусмотренных законом Новосибирской области об областном бюджете Новосибирской области на очередной финансовый год и плановый период)</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 МЗ НСО, МК НСО, МО НСО, МФКиС НСО</w:t>
            </w:r>
          </w:p>
        </w:tc>
        <w:tc>
          <w:tcPr>
            <w:tcW w:w="2438" w:type="dxa"/>
          </w:tcPr>
          <w:p>
            <w:pPr>
              <w:pStyle w:val="0"/>
              <w:jc w:val="both"/>
            </w:pPr>
            <w:r>
              <w:rPr>
                <w:sz w:val="24"/>
              </w:rPr>
              <w:t xml:space="preserve">ежегодный прирост среднемесячной номинальной начисленной заработной платы работников бюджетной сферы не менее чем 3,8%</w:t>
            </w:r>
          </w:p>
        </w:tc>
        <w:tc>
          <w:tcPr>
            <w:tcW w:w="1417" w:type="dxa"/>
          </w:tcPr>
          <w:p>
            <w:pPr>
              <w:pStyle w:val="0"/>
              <w:jc w:val="center"/>
            </w:pPr>
            <w:r>
              <w:rPr>
                <w:sz w:val="24"/>
              </w:rPr>
              <w:t xml:space="preserve">постановление Правительства Новосибирской области, официально опубликованные сведения Росстата</w:t>
            </w:r>
          </w:p>
        </w:tc>
        <w:tc>
          <w:tcPr>
            <w:tcW w:w="1134" w:type="dxa"/>
          </w:tcPr>
          <w:p>
            <w:pPr>
              <w:pStyle w:val="0"/>
              <w:jc w:val="center"/>
            </w:pPr>
            <w:r>
              <w:rPr>
                <w:sz w:val="24"/>
              </w:rPr>
              <w:t xml:space="preserve">1 - 4</w:t>
            </w:r>
          </w:p>
        </w:tc>
        <w:tc>
          <w:tcPr>
            <w:tcW w:w="1134" w:type="dxa"/>
          </w:tcPr>
          <w:p>
            <w:pPr>
              <w:pStyle w:val="0"/>
            </w:pPr>
            <w:r>
              <w:rPr>
                <w:sz w:val="24"/>
              </w:rPr>
            </w:r>
          </w:p>
        </w:tc>
      </w:tr>
      <w:tr>
        <w:tc>
          <w:tcPr>
            <w:tcW w:w="5046" w:type="dxa"/>
          </w:tcPr>
          <w:p>
            <w:pPr>
              <w:pStyle w:val="0"/>
              <w:jc w:val="both"/>
            </w:pPr>
            <w:r>
              <w:rPr>
                <w:sz w:val="24"/>
              </w:rPr>
              <w:t xml:space="preserve">1.2. Мониторинг своевременности и полноты выплаты заработной платы работникам организаций Новосибирской области, обеспечение работы горячей линии министерства труда и социального развития Новосибирской области по вопросам оплаты труда</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 во взаимодействии с ОИО НСО и ОМСУ НСО</w:t>
            </w:r>
          </w:p>
        </w:tc>
        <w:tc>
          <w:tcPr>
            <w:tcW w:w="2438" w:type="dxa"/>
          </w:tcPr>
          <w:p>
            <w:pPr>
              <w:pStyle w:val="0"/>
              <w:jc w:val="both"/>
            </w:pPr>
            <w:r>
              <w:rPr>
                <w:sz w:val="24"/>
              </w:rPr>
              <w:t xml:space="preserve">снижение (ликвидация) задолженности по выплате заработной платы в организациях Новосибирской области</w:t>
            </w:r>
          </w:p>
        </w:tc>
        <w:tc>
          <w:tcPr>
            <w:tcW w:w="1417" w:type="dxa"/>
          </w:tcPr>
          <w:p>
            <w:pPr>
              <w:pStyle w:val="0"/>
              <w:jc w:val="center"/>
            </w:pPr>
            <w:r>
              <w:rPr>
                <w:sz w:val="24"/>
              </w:rPr>
              <w:t xml:space="preserve">официально опубликованные сведения Росстата, оперативная информация ОМСУ НСО</w:t>
            </w:r>
          </w:p>
        </w:tc>
        <w:tc>
          <w:tcPr>
            <w:tcW w:w="1134" w:type="dxa"/>
          </w:tcPr>
          <w:p>
            <w:pPr>
              <w:pStyle w:val="0"/>
              <w:jc w:val="center"/>
            </w:pPr>
            <w:r>
              <w:rPr>
                <w:sz w:val="24"/>
              </w:rPr>
              <w:t xml:space="preserve">1 - 4</w:t>
            </w:r>
          </w:p>
        </w:tc>
        <w:tc>
          <w:tcPr>
            <w:tcW w:w="1134" w:type="dxa"/>
          </w:tcPr>
          <w:p>
            <w:pPr>
              <w:pStyle w:val="0"/>
            </w:pPr>
            <w:r>
              <w:rPr>
                <w:sz w:val="24"/>
              </w:rPr>
            </w:r>
          </w:p>
        </w:tc>
      </w:tr>
      <w:tr>
        <w:tc>
          <w:tcPr>
            <w:tcW w:w="5046" w:type="dxa"/>
          </w:tcPr>
          <w:p>
            <w:pPr>
              <w:pStyle w:val="0"/>
              <w:jc w:val="both"/>
            </w:pPr>
            <w:r>
              <w:rPr>
                <w:sz w:val="24"/>
              </w:rPr>
              <w:t xml:space="preserve">1.3. Организация работы по снижению нелегальной трудовой занятости, включая проведение информационно-разъяснительной работы о негативных последствиях нелегальной занятости и сокрытия фактической заработной платы в средствах массовой информации и на официальных сайтах ОИО НСО, в том числе информирование руководителей хозяйствующих субъектов о последствиях неоформления трудовых отношений и выплаты неофициальной заработной платы</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 во взаимодействии с ОИО НСО и ОМСУ НСО</w:t>
            </w:r>
          </w:p>
        </w:tc>
        <w:tc>
          <w:tcPr>
            <w:tcW w:w="2438" w:type="dxa"/>
          </w:tcPr>
          <w:p>
            <w:pPr>
              <w:pStyle w:val="0"/>
              <w:jc w:val="both"/>
            </w:pPr>
            <w:r>
              <w:rPr>
                <w:sz w:val="24"/>
              </w:rPr>
              <w:t xml:space="preserve">легализация трудовых отношений работников</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1 - 4</w:t>
            </w:r>
          </w:p>
        </w:tc>
        <w:tc>
          <w:tcPr>
            <w:tcW w:w="1134" w:type="dxa"/>
          </w:tcPr>
          <w:p>
            <w:pPr>
              <w:pStyle w:val="0"/>
            </w:pPr>
            <w:r>
              <w:rPr>
                <w:sz w:val="24"/>
              </w:rPr>
            </w:r>
          </w:p>
        </w:tc>
      </w:tr>
      <w:tr>
        <w:tc>
          <w:tcPr>
            <w:tcW w:w="5046" w:type="dxa"/>
          </w:tcPr>
          <w:p>
            <w:pPr>
              <w:pStyle w:val="0"/>
              <w:jc w:val="both"/>
            </w:pPr>
            <w:r>
              <w:rPr>
                <w:sz w:val="24"/>
              </w:rPr>
              <w:t xml:space="preserve">1.4. Предоставление инвесторам мер государственной поддержки, предусмотренных </w:t>
            </w:r>
            <w:hyperlink r:id="rId51" w:tooltip="Закон Новосибирской области от 29.06.2016 N 75-ОЗ (ред. от 05.12.2024) &quot;Об отдельных вопросах государственного регулирования инвестиционной деятельности, осуществляемой в форме капитальных вложений на территории Новосибирской области&quot; (принят постановлением Законодательного Собрания Новосибирской области от 23.06.2016 N 75-ЗС) {КонсультантПлюс}" w:history="0">
              <w:r>
                <w:rPr>
                  <w:color w:val="0000ff"/>
                  <w:sz w:val="24"/>
                </w:rPr>
                <w:t xml:space="preserve">Законом</w:t>
              </w:r>
            </w:hyperlink>
            <w:r>
              <w:rPr>
                <w:sz w:val="24"/>
              </w:rPr>
              <w:t xml:space="preserve"> Новосибирской области от 29.06.2016 N 75-ОЗ "Об отдельных вопросах государственного регулирования инвестиционной деятельности, осуществляемой в форме капитальных вложений на территории Новосибирской области", способствующих созданию новых рабочих мест</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МЭР НСО</w:t>
            </w:r>
          </w:p>
        </w:tc>
        <w:tc>
          <w:tcPr>
            <w:tcW w:w="2438" w:type="dxa"/>
          </w:tcPr>
          <w:p>
            <w:pPr>
              <w:pStyle w:val="0"/>
              <w:jc w:val="both"/>
            </w:pPr>
            <w:r>
              <w:rPr>
                <w:sz w:val="24"/>
              </w:rPr>
              <w:t xml:space="preserve">создание 0,5 тыс. рабочих мест ежегодно</w:t>
            </w:r>
          </w:p>
        </w:tc>
        <w:tc>
          <w:tcPr>
            <w:tcW w:w="1417" w:type="dxa"/>
          </w:tcPr>
          <w:p>
            <w:pPr>
              <w:pStyle w:val="0"/>
              <w:jc w:val="center"/>
            </w:pPr>
            <w:r>
              <w:rPr>
                <w:sz w:val="24"/>
              </w:rPr>
              <w:t xml:space="preserve">отчет МЭР НСО</w:t>
            </w:r>
          </w:p>
        </w:tc>
        <w:tc>
          <w:tcPr>
            <w:tcW w:w="1134" w:type="dxa"/>
          </w:tcPr>
          <w:p>
            <w:pPr>
              <w:pStyle w:val="0"/>
              <w:jc w:val="center"/>
            </w:pPr>
            <w:r>
              <w:rPr>
                <w:sz w:val="24"/>
              </w:rPr>
              <w:t xml:space="preserve">1 - 4</w:t>
            </w:r>
          </w:p>
        </w:tc>
        <w:tc>
          <w:tcPr>
            <w:tcW w:w="1134" w:type="dxa"/>
          </w:tcPr>
          <w:p>
            <w:pPr>
              <w:pStyle w:val="0"/>
            </w:pPr>
            <w:r>
              <w:rPr>
                <w:sz w:val="24"/>
              </w:rPr>
            </w:r>
          </w:p>
        </w:tc>
      </w:tr>
      <w:tr>
        <w:tc>
          <w:tcPr>
            <w:tcW w:w="5046" w:type="dxa"/>
          </w:tcPr>
          <w:p>
            <w:pPr>
              <w:pStyle w:val="0"/>
              <w:jc w:val="both"/>
            </w:pPr>
            <w:r>
              <w:rPr>
                <w:sz w:val="24"/>
              </w:rPr>
              <w:t xml:space="preserve">1.5. Предоставление грантовой поддержки "Агропрогресс" сельскохозяйственным товаропроизводителям (за исключением К(Ф)Х, ИП), включенным в реестр субъектов МСП, и сельскохозяйственным потребительским кооперативам на укрепление материально-технической базы и создание новых рабочих мест</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МСХ НСО</w:t>
            </w:r>
          </w:p>
        </w:tc>
        <w:tc>
          <w:tcPr>
            <w:tcW w:w="2438" w:type="dxa"/>
          </w:tcPr>
          <w:p>
            <w:pPr>
              <w:pStyle w:val="0"/>
              <w:jc w:val="both"/>
            </w:pPr>
            <w:r>
              <w:rPr>
                <w:sz w:val="24"/>
              </w:rPr>
              <w:t xml:space="preserve">предоставление грантовой поддержки ежегодно не менее 1 субъекту МСП, 1 сельскохозяйственному кооперативу. Содействие занятости, повышение уровня жизни сельского населения</w:t>
            </w:r>
          </w:p>
        </w:tc>
        <w:tc>
          <w:tcPr>
            <w:tcW w:w="1417" w:type="dxa"/>
          </w:tcPr>
          <w:p>
            <w:pPr>
              <w:pStyle w:val="0"/>
              <w:jc w:val="center"/>
            </w:pPr>
            <w:r>
              <w:rPr>
                <w:sz w:val="24"/>
              </w:rPr>
              <w:t xml:space="preserve">отчет МСХ НСО</w:t>
            </w:r>
          </w:p>
        </w:tc>
        <w:tc>
          <w:tcPr>
            <w:tcW w:w="1134" w:type="dxa"/>
          </w:tcPr>
          <w:p>
            <w:pPr>
              <w:pStyle w:val="0"/>
              <w:jc w:val="center"/>
            </w:pPr>
            <w:r>
              <w:rPr>
                <w:sz w:val="24"/>
              </w:rPr>
              <w:t xml:space="preserve">1 - 4</w:t>
            </w:r>
          </w:p>
        </w:tc>
        <w:tc>
          <w:tcPr>
            <w:tcW w:w="1134" w:type="dxa"/>
          </w:tcPr>
          <w:p>
            <w:pPr>
              <w:pStyle w:val="0"/>
            </w:pPr>
            <w:r>
              <w:rPr>
                <w:sz w:val="24"/>
              </w:rPr>
            </w:r>
          </w:p>
        </w:tc>
      </w:tr>
      <w:tr>
        <w:tc>
          <w:tcPr>
            <w:tcW w:w="5046" w:type="dxa"/>
          </w:tcPr>
          <w:p>
            <w:pPr>
              <w:pStyle w:val="0"/>
              <w:jc w:val="both"/>
            </w:pPr>
            <w:r>
              <w:rPr>
                <w:sz w:val="24"/>
              </w:rPr>
              <w:t xml:space="preserve">1.6. Осуществление мер по развитию семейных ферм</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МСХ НСО</w:t>
            </w:r>
          </w:p>
        </w:tc>
        <w:tc>
          <w:tcPr>
            <w:tcW w:w="2438" w:type="dxa"/>
          </w:tcPr>
          <w:p>
            <w:pPr>
              <w:pStyle w:val="0"/>
              <w:jc w:val="both"/>
            </w:pPr>
            <w:r>
              <w:rPr>
                <w:sz w:val="24"/>
              </w:rPr>
              <w:t xml:space="preserve">осуществление мер по развитию не менее 2 семейных ферм ежегодно. Содействие занятости, повышение уровня жизни сельского населения</w:t>
            </w:r>
          </w:p>
        </w:tc>
        <w:tc>
          <w:tcPr>
            <w:tcW w:w="1417" w:type="dxa"/>
          </w:tcPr>
          <w:p>
            <w:pPr>
              <w:pStyle w:val="0"/>
              <w:jc w:val="center"/>
            </w:pPr>
            <w:r>
              <w:rPr>
                <w:sz w:val="24"/>
              </w:rPr>
              <w:t xml:space="preserve">отчет МСХ НСО</w:t>
            </w:r>
          </w:p>
        </w:tc>
        <w:tc>
          <w:tcPr>
            <w:tcW w:w="1134" w:type="dxa"/>
          </w:tcPr>
          <w:p>
            <w:pPr>
              <w:pStyle w:val="0"/>
              <w:jc w:val="center"/>
            </w:pPr>
            <w:r>
              <w:rPr>
                <w:sz w:val="24"/>
              </w:rPr>
              <w:t xml:space="preserve">1 - 4</w:t>
            </w:r>
          </w:p>
        </w:tc>
        <w:tc>
          <w:tcPr>
            <w:tcW w:w="1134" w:type="dxa"/>
          </w:tcPr>
          <w:p>
            <w:pPr>
              <w:pStyle w:val="0"/>
            </w:pPr>
            <w:r>
              <w:rPr>
                <w:sz w:val="24"/>
              </w:rPr>
            </w:r>
          </w:p>
        </w:tc>
      </w:tr>
      <w:tr>
        <w:tc>
          <w:tcPr>
            <w:tcW w:w="5046" w:type="dxa"/>
          </w:tcPr>
          <w:p>
            <w:pPr>
              <w:pStyle w:val="0"/>
              <w:jc w:val="both"/>
            </w:pPr>
            <w:r>
              <w:rPr>
                <w:sz w:val="24"/>
              </w:rPr>
              <w:t xml:space="preserve">1.7. Предоставление социальной выплаты на строительство (приобретение) жилья семьям, проживающим в сельской местности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МСХ НСО</w:t>
            </w:r>
          </w:p>
        </w:tc>
        <w:tc>
          <w:tcPr>
            <w:tcW w:w="2438" w:type="dxa"/>
          </w:tcPr>
          <w:p>
            <w:pPr>
              <w:pStyle w:val="0"/>
              <w:jc w:val="both"/>
            </w:pPr>
            <w:r>
              <w:rPr>
                <w:sz w:val="24"/>
              </w:rPr>
              <w:t xml:space="preserve">предоставление социальной выплаты на строительство (приобретение) ежегодно не менее 3000 кв. м жилья семьям, проживающим в сельской местности. Улучшение жилищных условий граждан, проживающих на сельских территориях</w:t>
            </w:r>
          </w:p>
        </w:tc>
        <w:tc>
          <w:tcPr>
            <w:tcW w:w="1417" w:type="dxa"/>
          </w:tcPr>
          <w:p>
            <w:pPr>
              <w:pStyle w:val="0"/>
              <w:jc w:val="center"/>
            </w:pPr>
            <w:r>
              <w:rPr>
                <w:sz w:val="24"/>
              </w:rPr>
              <w:t xml:space="preserve">отчет МСХ НСО</w:t>
            </w:r>
          </w:p>
        </w:tc>
        <w:tc>
          <w:tcPr>
            <w:tcW w:w="1134" w:type="dxa"/>
          </w:tcPr>
          <w:p>
            <w:pPr>
              <w:pStyle w:val="0"/>
              <w:jc w:val="center"/>
            </w:pPr>
            <w:r>
              <w:rPr>
                <w:sz w:val="24"/>
              </w:rPr>
              <w:t xml:space="preserve">1 - 4</w:t>
            </w:r>
          </w:p>
        </w:tc>
        <w:tc>
          <w:tcPr>
            <w:tcW w:w="1134" w:type="dxa"/>
          </w:tcPr>
          <w:p>
            <w:pPr>
              <w:pStyle w:val="0"/>
            </w:pPr>
            <w:r>
              <w:rPr>
                <w:sz w:val="24"/>
              </w:rPr>
            </w:r>
          </w:p>
        </w:tc>
      </w:tr>
      <w:tr>
        <w:tc>
          <w:tcPr>
            <w:tcW w:w="5046" w:type="dxa"/>
          </w:tcPr>
          <w:p>
            <w:pPr>
              <w:pStyle w:val="0"/>
              <w:jc w:val="both"/>
            </w:pPr>
            <w:r>
              <w:rPr>
                <w:sz w:val="24"/>
              </w:rPr>
              <w:t xml:space="preserve">1.8. Предоставление единовременных выплат молодым специалистам, работающим в сельской местности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МСХ НСО</w:t>
            </w:r>
          </w:p>
        </w:tc>
        <w:tc>
          <w:tcPr>
            <w:tcW w:w="2438" w:type="dxa"/>
          </w:tcPr>
          <w:p>
            <w:pPr>
              <w:pStyle w:val="0"/>
              <w:jc w:val="both"/>
            </w:pPr>
            <w:r>
              <w:rPr>
                <w:sz w:val="24"/>
              </w:rPr>
              <w:t xml:space="preserve">предоставление единовременной выплаты ежегодно не менее 60 молодым специалистам, работающим в сельской местности. Обеспечение сельскохозяйственных организаций высококвалифицированными кадрами для повышения эффективности использования производственного потенциала предприятий агропромышленного комплекса, рост заработной платы за квалифицированный труд</w:t>
            </w:r>
          </w:p>
        </w:tc>
        <w:tc>
          <w:tcPr>
            <w:tcW w:w="1417" w:type="dxa"/>
          </w:tcPr>
          <w:p>
            <w:pPr>
              <w:pStyle w:val="0"/>
              <w:jc w:val="center"/>
            </w:pPr>
            <w:r>
              <w:rPr>
                <w:sz w:val="24"/>
              </w:rPr>
              <w:t xml:space="preserve">отчет МСХ НСО</w:t>
            </w:r>
          </w:p>
        </w:tc>
        <w:tc>
          <w:tcPr>
            <w:tcW w:w="1134" w:type="dxa"/>
          </w:tcPr>
          <w:p>
            <w:pPr>
              <w:pStyle w:val="0"/>
              <w:jc w:val="center"/>
            </w:pPr>
            <w:r>
              <w:rPr>
                <w:sz w:val="24"/>
              </w:rPr>
              <w:t xml:space="preserve">1 - 4</w:t>
            </w:r>
          </w:p>
        </w:tc>
        <w:tc>
          <w:tcPr>
            <w:tcW w:w="1134" w:type="dxa"/>
          </w:tcPr>
          <w:p>
            <w:pPr>
              <w:pStyle w:val="0"/>
            </w:pPr>
            <w:r>
              <w:rPr>
                <w:sz w:val="24"/>
              </w:rPr>
            </w:r>
          </w:p>
        </w:tc>
      </w:tr>
      <w:tr>
        <w:tc>
          <w:tcPr>
            <w:tcW w:w="5046" w:type="dxa"/>
          </w:tcPr>
          <w:p>
            <w:pPr>
              <w:pStyle w:val="0"/>
              <w:jc w:val="both"/>
            </w:pPr>
            <w:r>
              <w:rPr>
                <w:sz w:val="24"/>
              </w:rPr>
              <w:t xml:space="preserve">1.9. Организация временного трудоустройства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несовершеннолетних граждан в возрасте от 14 до 18 лет в свободное от учебы время</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ежегодно содействие не менее 7,8 тыс. ищущих работу и безработных граждан в трудоустройстве на временные работы по договорам с работодателями. Выплата материальной поддержки в период участия во временных работах, повышение доходов указанных категорий граждан</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p>
            <w:pPr>
              <w:pStyle w:val="0"/>
              <w:jc w:val="center"/>
            </w:pPr>
            <w:r>
              <w:rPr>
                <w:sz w:val="24"/>
              </w:rPr>
              <w:t xml:space="preserve">6 - 8</w:t>
            </w:r>
          </w:p>
        </w:tc>
        <w:tc>
          <w:tcPr>
            <w:tcW w:w="1134" w:type="dxa"/>
          </w:tcPr>
          <w:p>
            <w:pPr>
              <w:pStyle w:val="0"/>
            </w:pPr>
            <w:r>
              <w:rPr>
                <w:sz w:val="24"/>
              </w:rPr>
            </w:r>
          </w:p>
        </w:tc>
      </w:tr>
      <w:tr>
        <w:tc>
          <w:tcPr>
            <w:tcW w:w="5046" w:type="dxa"/>
          </w:tcPr>
          <w:p>
            <w:pPr>
              <w:pStyle w:val="0"/>
              <w:jc w:val="both"/>
            </w:pPr>
            <w:r>
              <w:rPr>
                <w:sz w:val="24"/>
              </w:rPr>
              <w:t xml:space="preserve">1.10. Содействие самозанятости безработных граждан, включая оказание единовременной финансовой помощи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ежегодно оказание консультационных услуг не менее 1,4 тыс. безработных граждан по вопросам организации самостоятельной занятости. Оказание ежегодно не менее 140 безработным гражданам единовременной финансовой помощи на начало осуществления предпринимательской деятельности, повышение доходов указанных категорий граждан</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1 - 4,</w:t>
            </w:r>
          </w:p>
          <w:p>
            <w:pPr>
              <w:pStyle w:val="0"/>
              <w:jc w:val="center"/>
            </w:pPr>
            <w:r>
              <w:rPr>
                <w:sz w:val="24"/>
              </w:rPr>
              <w:t xml:space="preserve">6 - 8</w:t>
            </w:r>
          </w:p>
        </w:tc>
        <w:tc>
          <w:tcPr>
            <w:tcW w:w="1134" w:type="dxa"/>
          </w:tcPr>
          <w:p>
            <w:pPr>
              <w:pStyle w:val="0"/>
            </w:pPr>
            <w:r>
              <w:rPr>
                <w:sz w:val="24"/>
              </w:rPr>
            </w:r>
          </w:p>
        </w:tc>
      </w:tr>
      <w:tr>
        <w:tc>
          <w:tcPr>
            <w:tcW w:w="5046" w:type="dxa"/>
          </w:tcPr>
          <w:p>
            <w:pPr>
              <w:pStyle w:val="0"/>
              <w:jc w:val="both"/>
            </w:pPr>
            <w:r>
              <w:rPr>
                <w:sz w:val="24"/>
              </w:rPr>
              <w:t xml:space="preserve">1.11. Организация прохождения профессионального обучения и получения дополнительного профессионального образования безработных граждан, а также отдельных категорий граждан в рамках национального проекта "Демография"</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ежегодно не менее 1,4 тыс. граждан пройдут профессиональное обучение или получат дополнительное профессиональное образование с учетом потребностей рынка труда, повышение доходов указанных категорий граждан</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1 - 4,</w:t>
            </w:r>
          </w:p>
          <w:p>
            <w:pPr>
              <w:pStyle w:val="0"/>
              <w:jc w:val="center"/>
            </w:pPr>
            <w:r>
              <w:rPr>
                <w:sz w:val="24"/>
              </w:rPr>
              <w:t xml:space="preserve">6 - 8</w:t>
            </w:r>
          </w:p>
        </w:tc>
        <w:tc>
          <w:tcPr>
            <w:tcW w:w="1134" w:type="dxa"/>
          </w:tcPr>
          <w:p>
            <w:pPr>
              <w:pStyle w:val="0"/>
            </w:pPr>
            <w:r>
              <w:rPr>
                <w:sz w:val="24"/>
              </w:rPr>
            </w:r>
          </w:p>
        </w:tc>
      </w:tr>
      <w:tr>
        <w:tc>
          <w:tcPr>
            <w:tcW w:w="5046" w:type="dxa"/>
          </w:tcPr>
          <w:p>
            <w:pPr>
              <w:pStyle w:val="0"/>
              <w:jc w:val="both"/>
            </w:pPr>
            <w:r>
              <w:rPr>
                <w:sz w:val="24"/>
              </w:rPr>
              <w:t xml:space="preserve">1.12. Организация ярмарок вакансий и учебных рабочих мест</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проведение ежегодно не менее 90 ярмарок вакансий и учебных рабочих мест, что позволит сократить продолжительность поиска работы гражданами, повышение доходов указанных категорий граждан</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1 - 4,</w:t>
            </w:r>
          </w:p>
          <w:p>
            <w:pPr>
              <w:pStyle w:val="0"/>
              <w:jc w:val="center"/>
            </w:pPr>
            <w:r>
              <w:rPr>
                <w:sz w:val="24"/>
              </w:rPr>
              <w:t xml:space="preserve">6 - 8</w:t>
            </w:r>
          </w:p>
        </w:tc>
        <w:tc>
          <w:tcPr>
            <w:tcW w:w="1134" w:type="dxa"/>
          </w:tcPr>
          <w:p>
            <w:pPr>
              <w:pStyle w:val="0"/>
            </w:pPr>
            <w:r>
              <w:rPr>
                <w:sz w:val="24"/>
              </w:rPr>
            </w:r>
          </w:p>
        </w:tc>
      </w:tr>
      <w:tr>
        <w:tc>
          <w:tcPr>
            <w:tcW w:w="5046" w:type="dxa"/>
          </w:tcPr>
          <w:p>
            <w:pPr>
              <w:pStyle w:val="0"/>
              <w:jc w:val="both"/>
            </w:pPr>
            <w:r>
              <w:rPr>
                <w:sz w:val="24"/>
              </w:rPr>
              <w:t xml:space="preserve">1.13. Содействие занятости отдельных категорий граждан (женщин, воспитывающих детей, инвалидов, лиц старшего поколения)</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организация ежегодно: профессионального обучения и дополнительного профессионального образования не менее 100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организация прохождения профессиональной подготовки не менее 100 женщин в период отпуска по уходу за ребенком по достижении им возраста трех лет; организация мероприятий по повышению конкурентоспособности инвалидов на региональном рынке труда в целях их трудоустройства; оказание услуг сопровождения при трудоустройстве не менее 50 инвалидов; сохранение не менее 36 рабочих мест для инвалидов. Повышение доходов указанных категорий граждан</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1 - 4,</w:t>
            </w:r>
          </w:p>
          <w:p>
            <w:pPr>
              <w:pStyle w:val="0"/>
              <w:jc w:val="center"/>
            </w:pPr>
            <w:r>
              <w:rPr>
                <w:sz w:val="24"/>
              </w:rPr>
              <w:t xml:space="preserve">6 - 8</w:t>
            </w:r>
          </w:p>
        </w:tc>
        <w:tc>
          <w:tcPr>
            <w:tcW w:w="1134" w:type="dxa"/>
          </w:tcPr>
          <w:p>
            <w:pPr>
              <w:pStyle w:val="0"/>
            </w:pPr>
            <w:r>
              <w:rPr>
                <w:sz w:val="24"/>
              </w:rPr>
            </w:r>
          </w:p>
        </w:tc>
      </w:tr>
      <w:tr>
        <w:tc>
          <w:tcPr>
            <w:tcW w:w="5046" w:type="dxa"/>
          </w:tcPr>
          <w:p>
            <w:pPr>
              <w:pStyle w:val="0"/>
              <w:jc w:val="both"/>
            </w:pPr>
            <w:r>
              <w:rPr>
                <w:sz w:val="24"/>
              </w:rPr>
              <w:t xml:space="preserve">1.14. Проведение дополнительных мероприятий по организации профессионального обучения и дополнительного профессионального образования инвалидов, в том числе инвалидов молодого возраста</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организация профессионального обучения и дополнительного профессионального образования ежегодно не менее 60 инвалидов, повышение доходов указанных категорий граждан</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1 - 4,</w:t>
            </w:r>
          </w:p>
          <w:p>
            <w:pPr>
              <w:pStyle w:val="0"/>
              <w:jc w:val="center"/>
            </w:pPr>
            <w:r>
              <w:rPr>
                <w:sz w:val="24"/>
              </w:rPr>
              <w:t xml:space="preserve">6 - 8</w:t>
            </w:r>
          </w:p>
        </w:tc>
        <w:tc>
          <w:tcPr>
            <w:tcW w:w="1134" w:type="dxa"/>
          </w:tcPr>
          <w:p>
            <w:pPr>
              <w:pStyle w:val="0"/>
            </w:pPr>
            <w:r>
              <w:rPr>
                <w:sz w:val="24"/>
              </w:rPr>
            </w:r>
          </w:p>
        </w:tc>
      </w:tr>
      <w:tr>
        <w:tc>
          <w:tcPr>
            <w:tcW w:w="5046" w:type="dxa"/>
          </w:tcPr>
          <w:p>
            <w:pPr>
              <w:pStyle w:val="0"/>
              <w:jc w:val="both"/>
            </w:pPr>
            <w:r>
              <w:rPr>
                <w:sz w:val="24"/>
              </w:rPr>
              <w:t xml:space="preserve">1.15. Предоставление мер государственной поддержки субъектам малого и среднего предпринимательства</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МПТиРП НСО</w:t>
            </w:r>
          </w:p>
        </w:tc>
        <w:tc>
          <w:tcPr>
            <w:tcW w:w="2438" w:type="dxa"/>
          </w:tcPr>
          <w:p>
            <w:pPr>
              <w:pStyle w:val="0"/>
              <w:jc w:val="both"/>
            </w:pPr>
            <w:r>
              <w:rPr>
                <w:sz w:val="24"/>
              </w:rPr>
              <w:t xml:space="preserve">численность занятых в сфере малого и среднего предпринимательства, включая индивидуальных предпринимателей и самозанятых, составит не менее 584,4 тыс. чел.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1 - 4</w:t>
            </w:r>
          </w:p>
        </w:tc>
        <w:tc>
          <w:tcPr>
            <w:tcW w:w="1134" w:type="dxa"/>
          </w:tcPr>
          <w:p>
            <w:pPr>
              <w:pStyle w:val="0"/>
            </w:pPr>
            <w:r>
              <w:rPr>
                <w:sz w:val="24"/>
              </w:rPr>
            </w:r>
          </w:p>
        </w:tc>
      </w:tr>
      <w:tr>
        <w:tc>
          <w:tcPr>
            <w:tcW w:w="5046" w:type="dxa"/>
          </w:tcPr>
          <w:p>
            <w:pPr>
              <w:pStyle w:val="0"/>
              <w:jc w:val="both"/>
            </w:pPr>
            <w:r>
              <w:rPr>
                <w:sz w:val="24"/>
              </w:rPr>
              <w:t xml:space="preserve">1.16. Организация профессиональной ориентации граждан, в том числе инвалидов молодого возраста,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включая проведение профориентационных мероприятий для несовершеннолетних граждан в целях профилактики безнадзорности и правонарушений</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ежегодно 38,6 тыс. граждан будут оказаны государственные услуги по профессиональной ориентации. Определение перечня оптимальных видов занятости, профессий (специальностей) с учетом потребностей и возможностей граждан, ситуации на рынке труда для трудоустройства, прохождения профессионального обучения и получения дополнительного профессионального образования и успешной реализации профессиональной карьеры. Проведение профориентационных мероприятий для несовершеннолетних граждан в целях профилактики безнадзорности и правонарушений</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6 - 8</w:t>
            </w:r>
          </w:p>
        </w:tc>
        <w:tc>
          <w:tcPr>
            <w:tcW w:w="1134" w:type="dxa"/>
          </w:tcPr>
          <w:p>
            <w:pPr>
              <w:pStyle w:val="0"/>
            </w:pPr>
            <w:r>
              <w:rPr>
                <w:sz w:val="24"/>
              </w:rPr>
            </w:r>
          </w:p>
        </w:tc>
      </w:tr>
      <w:tr>
        <w:tc>
          <w:tcPr>
            <w:tcW w:w="5046" w:type="dxa"/>
          </w:tcPr>
          <w:p>
            <w:pPr>
              <w:pStyle w:val="0"/>
              <w:jc w:val="both"/>
            </w:pPr>
            <w:r>
              <w:rPr>
                <w:sz w:val="24"/>
              </w:rPr>
              <w:t xml:space="preserve">1.17. Содействие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ежегодно 100 гражданам будет оказано содействие в переезде и переселении в другую местность для трудоустройства</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6 - 8</w:t>
            </w:r>
          </w:p>
        </w:tc>
        <w:tc>
          <w:tcPr>
            <w:tcW w:w="1134" w:type="dxa"/>
          </w:tcPr>
          <w:p>
            <w:pPr>
              <w:pStyle w:val="0"/>
            </w:pPr>
            <w:r>
              <w:rPr>
                <w:sz w:val="24"/>
              </w:rPr>
            </w:r>
          </w:p>
        </w:tc>
      </w:tr>
      <w:tr>
        <w:tc>
          <w:tcPr>
            <w:tcW w:w="5046" w:type="dxa"/>
          </w:tcPr>
          <w:p>
            <w:pPr>
              <w:pStyle w:val="0"/>
              <w:jc w:val="both"/>
            </w:pPr>
            <w:r>
              <w:rPr>
                <w:sz w:val="24"/>
              </w:rPr>
              <w:t xml:space="preserve">1.18. Оказание психологической поддержки безработным гражданам, включая инвалидов молодого возраста</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повышение трудовой мотивации безработных граждан.</w:t>
            </w:r>
          </w:p>
          <w:p>
            <w:pPr>
              <w:pStyle w:val="0"/>
              <w:jc w:val="both"/>
            </w:pPr>
            <w:r>
              <w:rPr>
                <w:sz w:val="24"/>
              </w:rPr>
              <w:t xml:space="preserve">Не менее 4,5 тыс. безработных граждан будет оказана психологическая поддержка</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6 - 8</w:t>
            </w:r>
          </w:p>
        </w:tc>
        <w:tc>
          <w:tcPr>
            <w:tcW w:w="1134" w:type="dxa"/>
          </w:tcPr>
          <w:p>
            <w:pPr>
              <w:pStyle w:val="0"/>
            </w:pPr>
            <w:r>
              <w:rPr>
                <w:sz w:val="24"/>
              </w:rPr>
            </w:r>
          </w:p>
        </w:tc>
      </w:tr>
      <w:tr>
        <w:tc>
          <w:tcPr>
            <w:tcW w:w="5046" w:type="dxa"/>
          </w:tcPr>
          <w:p>
            <w:pPr>
              <w:pStyle w:val="0"/>
              <w:jc w:val="both"/>
            </w:pPr>
            <w:r>
              <w:rPr>
                <w:sz w:val="24"/>
              </w:rPr>
              <w:t xml:space="preserve">1.19. Социальная адаптация безработных граждан на рынке труда, в том числе: индивидуальная и групповая формы работы по формированию у безработных граждан, включая инвалидов молодого возраста, навыков активного поиска работы, составления резюме, проведения деловой беседы с работодателем, преодоления последствий длительной безработицы, повышения мотивации к труду, профессиональному самоопределению</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государственную услугу по социальной адаптации ежегодно будут получать 4,5 тыс. безработных граждан, что будет способствовать повышению конкурентоспособности безработных граждан на рынке труда</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6 - 8</w:t>
            </w:r>
          </w:p>
        </w:tc>
        <w:tc>
          <w:tcPr>
            <w:tcW w:w="1134" w:type="dxa"/>
          </w:tcPr>
          <w:p>
            <w:pPr>
              <w:pStyle w:val="0"/>
            </w:pPr>
            <w:r>
              <w:rPr>
                <w:sz w:val="24"/>
              </w:rPr>
            </w:r>
          </w:p>
        </w:tc>
      </w:tr>
      <w:tr>
        <w:tc>
          <w:tcPr>
            <w:tcW w:w="5046" w:type="dxa"/>
          </w:tcPr>
          <w:p>
            <w:pPr>
              <w:pStyle w:val="0"/>
              <w:jc w:val="both"/>
            </w:pPr>
            <w:r>
              <w:rPr>
                <w:sz w:val="24"/>
              </w:rPr>
              <w:t xml:space="preserve">1.20. Создание условий для социализации детей и учащейся молодежи в Новосибирской области</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МО НСО</w:t>
            </w:r>
          </w:p>
        </w:tc>
        <w:tc>
          <w:tcPr>
            <w:tcW w:w="2438" w:type="dxa"/>
          </w:tcPr>
          <w:p>
            <w:pPr>
              <w:pStyle w:val="0"/>
              <w:jc w:val="both"/>
            </w:pPr>
            <w:r>
              <w:rPr>
                <w:sz w:val="24"/>
              </w:rPr>
              <w:t xml:space="preserve">создание новых дополнительных мест и условий для детей дошкольного возраста</w:t>
            </w:r>
          </w:p>
        </w:tc>
        <w:tc>
          <w:tcPr>
            <w:tcW w:w="1417" w:type="dxa"/>
          </w:tcPr>
          <w:p>
            <w:pPr>
              <w:pStyle w:val="0"/>
              <w:jc w:val="center"/>
            </w:pPr>
            <w:r>
              <w:rPr>
                <w:sz w:val="24"/>
              </w:rPr>
              <w:t xml:space="preserve">отчет МО НСО</w:t>
            </w:r>
          </w:p>
        </w:tc>
        <w:tc>
          <w:tcPr>
            <w:tcW w:w="1134" w:type="dxa"/>
          </w:tcPr>
          <w:p>
            <w:pPr>
              <w:pStyle w:val="0"/>
              <w:jc w:val="center"/>
            </w:pPr>
            <w:r>
              <w:rPr>
                <w:sz w:val="24"/>
              </w:rPr>
              <w:t xml:space="preserve">1</w:t>
            </w:r>
          </w:p>
        </w:tc>
        <w:tc>
          <w:tcPr>
            <w:tcW w:w="1134" w:type="dxa"/>
          </w:tcPr>
          <w:p>
            <w:pPr>
              <w:pStyle w:val="0"/>
            </w:pPr>
            <w:r>
              <w:rPr>
                <w:sz w:val="24"/>
              </w:rPr>
            </w:r>
          </w:p>
        </w:tc>
      </w:tr>
      <w:tr>
        <w:tc>
          <w:tcPr>
            <w:tcW w:w="13607" w:type="dxa"/>
            <w:gridSpan w:val="7"/>
          </w:tcPr>
          <w:p>
            <w:pPr>
              <w:pStyle w:val="0"/>
              <w:jc w:val="center"/>
              <w:outlineLvl w:val="3"/>
            </w:pPr>
            <w:r>
              <w:rPr>
                <w:sz w:val="24"/>
              </w:rPr>
              <w:t xml:space="preserve">Задача 2. Развитие системы социальной помощи и социального контракта</w:t>
            </w:r>
          </w:p>
        </w:tc>
      </w:tr>
      <w:tr>
        <w:tc>
          <w:tcPr>
            <w:tcW w:w="5046" w:type="dxa"/>
          </w:tcPr>
          <w:p>
            <w:pPr>
              <w:pStyle w:val="0"/>
              <w:jc w:val="both"/>
            </w:pPr>
            <w:r>
              <w:rPr>
                <w:sz w:val="24"/>
              </w:rPr>
              <w:t xml:space="preserve">2.1. Формирование и ведение реестров граждан с доходами ниже прожиточного минимума, установленного в субъекте Российской Федерации, в разрезе муниципальных, городских округов и муниципальных районов; направление информации о выявленных гражданах и семьях с доходами ниже величины прожиточного минимума в уполномоченные органы для организации их социальной поддержки и разработки мероприятий по выводу их из бедности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формирование и ведение сводного реестра получателей мер социальной поддержки с учетом критерия нуждаемости, среднедушевой доход которых ниже величины прожиточного минимума, установленного в Новосибирской области, 1 раз в квартал</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w:t>
            </w:r>
          </w:p>
        </w:tc>
        <w:tc>
          <w:tcPr>
            <w:tcW w:w="1134" w:type="dxa"/>
          </w:tcPr>
          <w:p>
            <w:pPr>
              <w:pStyle w:val="0"/>
            </w:pPr>
            <w:r>
              <w:rPr>
                <w:sz w:val="24"/>
              </w:rPr>
            </w:r>
          </w:p>
        </w:tc>
      </w:tr>
      <w:tr>
        <w:tc>
          <w:tcPr>
            <w:tcW w:w="5046" w:type="dxa"/>
          </w:tcPr>
          <w:p>
            <w:pPr>
              <w:pStyle w:val="0"/>
              <w:jc w:val="both"/>
            </w:pPr>
            <w:r>
              <w:rPr>
                <w:sz w:val="24"/>
              </w:rPr>
              <w:t xml:space="preserve">2.2. Оказание единовременной материальной помощи малоимущим гражданам и гражданам, находящимся в трудной жизненной ситуации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единовременной материальной помощи не менее 4000 малоимущим гражданам, находящимся в трудной жизненной ситуации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2.3. Ежемесячная выплата на детей в возрасте от трех до семи лет включительно</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ежемесячной выплаты на детей от трех до семи лет включительно (не менее 80000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jc w:val="center"/>
            </w:pPr>
            <w:r>
              <w:rPr>
                <w:sz w:val="24"/>
              </w:rPr>
              <w:t xml:space="preserve">С 2024 года мероприятие исключено</w:t>
            </w:r>
          </w:p>
        </w:tc>
      </w:tr>
      <w:tr>
        <w:tc>
          <w:tcPr>
            <w:tcW w:w="5046" w:type="dxa"/>
          </w:tcPr>
          <w:p>
            <w:pPr>
              <w:pStyle w:val="0"/>
              <w:jc w:val="both"/>
            </w:pPr>
            <w:r>
              <w:rPr>
                <w:sz w:val="24"/>
              </w:rPr>
              <w:t xml:space="preserve">2.4. Расходы на выполнение переданных полномочий Российской Федерации по осуществлению ежемесячной выплаты в связи с рождением (усыновлением) первого ребенка (поддержка семьи и детей)</w:t>
            </w:r>
          </w:p>
        </w:tc>
        <w:tc>
          <w:tcPr>
            <w:tcW w:w="1134" w:type="dxa"/>
          </w:tcPr>
          <w:p>
            <w:pPr>
              <w:pStyle w:val="0"/>
              <w:jc w:val="center"/>
            </w:pPr>
            <w:r>
              <w:rPr>
                <w:sz w:val="24"/>
              </w:rPr>
              <w:t xml:space="preserve">2023 - 2030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ежемесячной выплаты в связи с рождением (усыновлением) первого ребенка (не менее 27500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jc w:val="center"/>
            </w:pPr>
            <w:r>
              <w:rPr>
                <w:sz w:val="24"/>
              </w:rPr>
              <w:t xml:space="preserve">С 2023 года мероприятие исключено</w:t>
            </w:r>
          </w:p>
        </w:tc>
      </w:tr>
      <w:tr>
        <w:tc>
          <w:tcPr>
            <w:tcW w:w="5046" w:type="dxa"/>
          </w:tcPr>
          <w:p>
            <w:pPr>
              <w:pStyle w:val="0"/>
              <w:jc w:val="both"/>
            </w:pPr>
            <w:r>
              <w:rPr>
                <w:sz w:val="24"/>
              </w:rPr>
              <w:t xml:space="preserve">2.5. Выплаты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(поддержка семьи и детей)</w:t>
            </w:r>
          </w:p>
        </w:tc>
        <w:tc>
          <w:tcPr>
            <w:tcW w:w="1134" w:type="dxa"/>
          </w:tcPr>
          <w:p>
            <w:pPr>
              <w:pStyle w:val="0"/>
              <w:jc w:val="center"/>
            </w:pPr>
            <w:r>
              <w:rPr>
                <w:sz w:val="24"/>
              </w:rPr>
              <w:t xml:space="preserve">2023 - 2030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единовременного пособия при рождении ребенка не менее 6144 получателям ежегодно. Предоставление ежемесячного пособия по уходу за ребенком до полутора лет не менее 23694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jc w:val="center"/>
            </w:pPr>
            <w:r>
              <w:rPr>
                <w:sz w:val="24"/>
              </w:rPr>
              <w:t xml:space="preserve">С 2022 года мероприятие исключено</w:t>
            </w:r>
          </w:p>
        </w:tc>
      </w:tr>
      <w:tr>
        <w:tc>
          <w:tcPr>
            <w:tcW w:w="5046" w:type="dxa"/>
          </w:tcPr>
          <w:p>
            <w:pPr>
              <w:pStyle w:val="0"/>
              <w:jc w:val="both"/>
            </w:pPr>
            <w:r>
              <w:rPr>
                <w:sz w:val="24"/>
              </w:rPr>
              <w:t xml:space="preserve">2.6. Выплата единовременного пособия при всех формах устройства детей, лишенных родительского попечения, в семью</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единовременного пособия при передаче ребенка на воспитание в семью не менее 705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jc w:val="center"/>
            </w:pPr>
            <w:r>
              <w:rPr>
                <w:sz w:val="24"/>
              </w:rPr>
              <w:t xml:space="preserve">С 2022 года мероприятие исключено</w:t>
            </w:r>
          </w:p>
        </w:tc>
      </w:tr>
      <w:tr>
        <w:tc>
          <w:tcPr>
            <w:tcW w:w="5046" w:type="dxa"/>
          </w:tcPr>
          <w:p>
            <w:pPr>
              <w:pStyle w:val="0"/>
              <w:jc w:val="both"/>
            </w:pPr>
            <w:r>
              <w:rPr>
                <w:sz w:val="24"/>
              </w:rPr>
              <w:t xml:space="preserve">2.7. Ежемесячная денежная выплата в размере прожиточного минимума для детей, установленного на территории Новосибирской области, в случае рождения после 31.12.2012 третьего ребенка или последующих детей до достижения ребенком возраста трех лет</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ежемесячной денежной выплаты не менее 12600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2.8. Дополнительные меры социальной поддержки семей, имеющих детей, на территории Новосибирской области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ежегодно не менее 4200 сертификатов на получение областного семейного капитала и выплат по указанным сертификатам</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2.9. Дополнительное пособие молодой семье при рождении ребенка</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дополнительного пособия при рождении ребенка не менее 12000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2.10. Компенсация части родительской платы за присмотр и уход за детьми, выплачиваемой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компенсации части родительской платы за присмотр и уход за детьми не менее 11700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2.11. Ежемесячное пособие на ребенка в Новосибирской области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ежемесячного пособия на ребенка не менее 50000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2.12. Ежемесячная социальная выплата гражданам, имеющим ребенка-инвалида, а также родителям и иным законным представителям ВИЧ-инфицированного - несовершеннолетнего в возрасте до 18 лет, проживающим на территории Новосибирской области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ежемесячной социальной выплаты не менее 7000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2.13. Ежемесячная дотация на питание детям-инвалидам с онкологическими, гематологическими заболеваниями и инсулинозависимой формой сахарного диабета и детям с наследственными заболеваниями: целиакией, муковисцидозом, фенилкетонурией, проживающим на территории Новосибирской области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ежемесячной дотации на питание не менее 1000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2.14. Ежегодная выплата на приобретение школьно-письменных принадлежностей на каждого ребенка школьного возраста из малоимущей многодетной семьи, включая доставку получателям</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выплаты на приобретение школьно-письменных принадлежностей не менее 15000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2.15. Единовременная денежная выплата семьям, в которых родилось двое или более детей одновременно, включая доставку получателям</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единовременной денежной выплаты не менее 110 семьям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2.16. Единовременная денежная выплата при поступлении ребенка из многодетной семьи в первый класс государственной, муниципальной или частной общеобразовательной организации, включая доставку получателям</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единовременной денежной выплаты не менее 6500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2.17. Единовременная денежная выплата ребенку из многодетной семьи (в том числе совершеннолетнему, но не старше 23 лет) при поступлении в государственную, муниципальную или частную образовательную организацию высшего образования, включая доставку получателям</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единовременной денежной выплаты не менее 800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2.18. Ежегодная денежная выплата многодетным семьям на приобретение одежды обучающихся для обучающихся в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включая доставку получателям</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ежегодной денежной выплаты не менее 55000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2.19. Выплата семьям, воспитывающим трех и более детей-инвалидов, нуждающихся в постоянном уходе, ежемесячной компенсации расходов по присмотру и уходу за детьми-инвалидами в домашних условиях, включая доставку получателям</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улучшение социального положения семей с детьми. Предоставление выплаты не менее 2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2.20. Обеспечение автотранспортными средствами многодетных семей, воспитывающих семь и более несовершеннолетних детей</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автомобильного транспорта ежегодно 20 многодетным семьям</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2.21. Единовременная денежная выплата на ремонт, строительство и приобретение жилья либо компенсацию затрат, связанных с ремонтом или приобретением (строительством) жилого помещения многодетным семьям, имеющим пять и более несовершеннолетних детей</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единой денежной выплаты ежегодно 200 многодетным семьям</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2.22. Ежемесячная денежная выплата отдельным категориям граждан (ветераны труда, ветераны труда Новосибирской области, реабилитированные, репрессированные, труженики тыла)</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предоставление ежемесячной денежной выплаты не менее 330000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2.23. Меры социальной поддержки гражданам, потерявшим родителей в годы Великой Отечественной войны 1941 - 1945 годов</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повышение материального обеспечения граждан данной категории</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2.24. Выплата региональной социальной доплаты к пенсии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установление федеральной/региональной социальной доплаты к пенсии не менее 100000 получателям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jc w:val="center"/>
            </w:pPr>
            <w:r>
              <w:rPr>
                <w:sz w:val="24"/>
              </w:rPr>
              <w:t xml:space="preserve">С 2024 года мероприятие исключено</w:t>
            </w:r>
          </w:p>
        </w:tc>
      </w:tr>
      <w:tr>
        <w:tc>
          <w:tcPr>
            <w:tcW w:w="5046" w:type="dxa"/>
          </w:tcPr>
          <w:p>
            <w:pPr>
              <w:pStyle w:val="0"/>
              <w:jc w:val="both"/>
            </w:pPr>
            <w:r>
              <w:rPr>
                <w:sz w:val="24"/>
              </w:rPr>
              <w:t xml:space="preserve">2.25. Организация отдыха и оздоровления отдельных категорий населения, нуждающихся в поддержке, в том числе организация отдыха и оздоровления детей-сирот и детей, находящихся в трудной жизненной ситуации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организация отдыха и оздоровления не менее 12906 детей ежегодно (на безвозмездной основе)</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2.26. Организация отдыха и оздоровления детей (за исключением организации отдыха детей в каникулярное время), в том числе детей - участников областных профильных смен</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организация отдыха и оздоровления не менее 7516 детей ежегодно (за частичную плату - 10% от стоимости путевки)</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2.27. Предоставление неработающим ветеранам труда, войны путевок на санаторно-курортное лечение</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обеспечение санаторно-оздоровительного отдыха не менее чем для 3400 ветеранов войны и труда ежегодно на базе санаторно-курортных организаций Новосибирской области</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2.28. Предоставление социальных услуг и мероприятий по социальному сопровождению гражданам, признанным нуждающимися в социальном обслуживании в различных формах социального обслуживания на льготных условиях</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получение отдельными категориями граждан социальных услуг, предоставляемых на безвозмездной основе или на условиях частичной оплаты с учетом индивидуальных потребностей. Обеспечение социальной реабилитации и адаптации отдельных категорий граждан путем предоставления социальных услуг. Оказание услуг не менее 130 тыс. человек</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2.29. Обеспечение доступности для населения социальных услуг в различных формах социального обслуживания, предоставляемых детям и семьям с детьми: реализация проектов по организации комплексной реабилитации и абилитации детей-инвалидов; организация деятельности службы паллиативной помощи семьям с детьми, страдающими неизлечимыми заболеваниями; содействие в создании службы поддержки родителей с детьми, попавшими в трудную жизненную ситуацию, в том числе с обеспечением предоставления временного проживания; реализация проектов по развитию адаптивной физической культуры и спорта среди детей-инвалидов и детей с ограниченными возможностями здоровья; улучшение качества и условий оказания услуг в государственном автономном стационарном учреждении социального обслуживания Новосибирской области "Ояшинский дом-интернат для детей-инвалидов и молодых инвалидов, имеющих психические расстройства"; оказание содействия в открытии групп кратковременного пребывания детей-инвалидов; реализация проекта по развитию альтернативных услуг для детей и молодежи с психофизическими нарушениями; оказание услуг ранней помощи детям с врожденными пороками развития или генетическими нарушениями от 0 до 3 лет; проведение в специализированных учреждениях Новосибирской области для несовершеннолетних, нуждающихся в социальной реабилитации, центрах помощи детям, оставшимся без попечения родителей, работ в части улучшения условий проживания воспитанников</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повышение качества жизни семей с детьми, содействие преодолению трудной жизненной ситуации</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2.30. Создание социально-экономических, организационных условий для повышения качества жизни граждан пожилого возраста, степени их социальной защищенности, содействие их активному участию в жизни общества, в том числе оказание финансовой единовременной поддержки на организацию поездок участников войны к местам боев и близких родственников (вдова, вдовец, брат, сестра, сын, дочь) погибших участников Великой Отечественной войны к местам их захоронения, а также семьям участников Великой Отечественной войны 1941 - 1945 годов, умерших до 12 июня 1990 года, на приобретение надгробных памятников</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повышение качества жизни граждан пожилого возраста: обеспечение их активного участия в жизни общества</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2.31. Оказание финансовой поддержки социально ориентированным организациям, оказывающим общественно полезные услуги гражданам пожилого возраста</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обеспечение доступности общественно полезных услуг</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2.32. В сфере занятости: поиск работы и трудоустройство, оказание содействия в прохождении профессионального обучения и получении дополнительного профессионального образования, переобучение востребованным на рынке труда профессиям</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повышение материального положения малоимущих граждан на основании социального контракта (не менее 4000 получателей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2.33. В сфере развития предпринимательства: поощрение стартапов, оказание помощи (консультации, профобучение, финансовая помощь при оформлении документов); предоставление субсидий на открытие собственного дела при организации индивидуальной предпринимательской деятельности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повышение материального положения малоимущих граждан на основании социального контракта (не менее 1400 получателей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2.34. Иные мероприятия, направленные на преодоление трудной жизненной ситуации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повышение материального положения малоимущих граждан на основании социального контракта (не менее 1000 получателей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2.35. Иные мероприятия, направленные на организацию личного подсобного хозяйства</w:t>
            </w:r>
          </w:p>
        </w:tc>
        <w:tc>
          <w:tcPr>
            <w:tcW w:w="1134" w:type="dxa"/>
          </w:tcPr>
          <w:p>
            <w:pPr>
              <w:pStyle w:val="0"/>
              <w:jc w:val="center"/>
            </w:pPr>
            <w:r>
              <w:rPr>
                <w:sz w:val="24"/>
              </w:rPr>
              <w:t xml:space="preserve">2022 - 2030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повышение материального положения малоимущих граждан на основании социального контракта (не менее 350 получателей ежегодно)</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2.36. Обеспечение дополнительным питанием детей первого - третьего года жизни, относящихся к установленным категориям, в том числе детей из малоимущих семей</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МЗ НСО</w:t>
            </w:r>
          </w:p>
        </w:tc>
        <w:tc>
          <w:tcPr>
            <w:tcW w:w="2438" w:type="dxa"/>
          </w:tcPr>
          <w:p>
            <w:pPr>
              <w:pStyle w:val="0"/>
              <w:jc w:val="both"/>
            </w:pPr>
            <w:r>
              <w:rPr>
                <w:sz w:val="24"/>
              </w:rPr>
              <w:t xml:space="preserve">обеспечение дополнительным питанием детей первого - третьего года жизни</w:t>
            </w:r>
          </w:p>
        </w:tc>
        <w:tc>
          <w:tcPr>
            <w:tcW w:w="1417" w:type="dxa"/>
          </w:tcPr>
          <w:p>
            <w:pPr>
              <w:pStyle w:val="0"/>
              <w:jc w:val="center"/>
            </w:pPr>
            <w:r>
              <w:rPr>
                <w:sz w:val="24"/>
              </w:rPr>
              <w:t xml:space="preserve">отчет МЗ НСО</w:t>
            </w:r>
          </w:p>
        </w:tc>
        <w:tc>
          <w:tcPr>
            <w:tcW w:w="1134" w:type="dxa"/>
          </w:tcPr>
          <w:p>
            <w:pPr>
              <w:pStyle w:val="0"/>
              <w:jc w:val="center"/>
            </w:pPr>
            <w:r>
              <w:rPr>
                <w:sz w:val="24"/>
              </w:rPr>
              <w:t xml:space="preserve">1</w:t>
            </w:r>
          </w:p>
        </w:tc>
        <w:tc>
          <w:tcPr>
            <w:tcW w:w="1134" w:type="dxa"/>
          </w:tcPr>
          <w:p>
            <w:pPr>
              <w:pStyle w:val="0"/>
            </w:pPr>
            <w:r>
              <w:rPr>
                <w:sz w:val="24"/>
              </w:rPr>
            </w:r>
          </w:p>
        </w:tc>
      </w:tr>
      <w:tr>
        <w:tc>
          <w:tcPr>
            <w:tcW w:w="13607" w:type="dxa"/>
            <w:gridSpan w:val="7"/>
          </w:tcPr>
          <w:p>
            <w:pPr>
              <w:pStyle w:val="0"/>
              <w:jc w:val="center"/>
              <w:outlineLvl w:val="3"/>
            </w:pPr>
            <w:r>
              <w:rPr>
                <w:sz w:val="24"/>
              </w:rPr>
              <w:t xml:space="preserve">Задача 3. Организация социальной адаптации малоимущих граждан</w:t>
            </w:r>
          </w:p>
        </w:tc>
      </w:tr>
      <w:tr>
        <w:tc>
          <w:tcPr>
            <w:tcW w:w="5046" w:type="dxa"/>
          </w:tcPr>
          <w:p>
            <w:pPr>
              <w:pStyle w:val="0"/>
              <w:jc w:val="both"/>
            </w:pPr>
            <w:r>
              <w:rPr>
                <w:sz w:val="24"/>
              </w:rPr>
              <w:t xml:space="preserve">3.1. Поощрение студентов государственных и муниципальных образовательных организаций высшего образования из многодетных семей с пятью и более детьми (при успешном обучении) в период учебного процесса в виде ежемесячной стипендии</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поощрение ежегодно 5 студентов из многодетных семей</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3.2. Назначение стипендий для одаренных детей-инвалидов в сфере культуры и искусства</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назначение стипендий ежегодно 30 одаренным детям-инвалидам по 1500 рублей в месяц</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1 - 3</w:t>
            </w:r>
          </w:p>
        </w:tc>
        <w:tc>
          <w:tcPr>
            <w:tcW w:w="1134" w:type="dxa"/>
          </w:tcPr>
          <w:p>
            <w:pPr>
              <w:pStyle w:val="0"/>
            </w:pPr>
            <w:r>
              <w:rPr>
                <w:sz w:val="24"/>
              </w:rPr>
            </w:r>
          </w:p>
        </w:tc>
      </w:tr>
      <w:tr>
        <w:tc>
          <w:tcPr>
            <w:tcW w:w="5046" w:type="dxa"/>
          </w:tcPr>
          <w:p>
            <w:pPr>
              <w:pStyle w:val="0"/>
              <w:jc w:val="both"/>
            </w:pPr>
            <w:r>
              <w:rPr>
                <w:sz w:val="24"/>
              </w:rPr>
              <w:t xml:space="preserve">3.3. Внедрение в деятельность организаций социального обслуживания новых подходов к профилактике семейного неблагополучия, создающих условия для предотвращения бедности семей с детьми, технологий, способствующих созданию условий для недопущения воспроизводства бедности среди детей из малоимущих семей</w:t>
            </w:r>
          </w:p>
        </w:tc>
        <w:tc>
          <w:tcPr>
            <w:tcW w:w="1134" w:type="dxa"/>
          </w:tcPr>
          <w:p>
            <w:pPr>
              <w:pStyle w:val="0"/>
              <w:jc w:val="center"/>
            </w:pPr>
            <w:r>
              <w:rPr>
                <w:sz w:val="24"/>
              </w:rPr>
              <w:t xml:space="preserve">2021 - 2030</w:t>
            </w:r>
          </w:p>
        </w:tc>
        <w:tc>
          <w:tcPr>
            <w:tcW w:w="1304" w:type="dxa"/>
          </w:tcPr>
          <w:p>
            <w:pPr>
              <w:pStyle w:val="0"/>
              <w:jc w:val="center"/>
            </w:pPr>
            <w:r>
              <w:rPr>
                <w:sz w:val="24"/>
              </w:rPr>
              <w:t xml:space="preserve">МТиСР НСО</w:t>
            </w:r>
          </w:p>
        </w:tc>
        <w:tc>
          <w:tcPr>
            <w:tcW w:w="2438" w:type="dxa"/>
          </w:tcPr>
          <w:p>
            <w:pPr>
              <w:pStyle w:val="0"/>
              <w:jc w:val="both"/>
            </w:pPr>
            <w:r>
              <w:rPr>
                <w:sz w:val="24"/>
              </w:rPr>
              <w:t xml:space="preserve">оказание услуг не менее 3000 несовершеннолетним гражданам ежегодно. </w:t>
            </w:r>
            <w:hyperlink r:id="rId52" w:tooltip="Приказ Минтруда и соцразвития Новосибирской области от 24.07.2020 N 662 (ред. от 15.11.2021) &quot;Об утверждении Комплекса мер по развитию эффективных социальных практик, направленных на сокращение бедности семей с детьми и улучшение условий жизнедеятельности детей в таких семьях на территории Новосибирской области, на 2020 - 2021 годы&quot; {КонсультантПлюс}" w:history="0">
              <w:r>
                <w:rPr>
                  <w:color w:val="0000ff"/>
                  <w:sz w:val="24"/>
                </w:rPr>
                <w:t xml:space="preserve">Приказ</w:t>
              </w:r>
            </w:hyperlink>
            <w:r>
              <w:rPr>
                <w:sz w:val="24"/>
              </w:rPr>
              <w:t xml:space="preserve"> министерства труда и социального развития Новосибирской области от 24.07.2020 N 662 "Об утверждении Комплекса мер по развитию эффективных социальных практик, направленных на сокращение бедности семей с детьми и улучшение условий жизнедеятельности детей в таких семьях на территории Новосибирской области, на 2020 - 2021 годы". С 2022 года реализация мероприятия осуществляется в рамках текущей деятельности министерства</w:t>
            </w:r>
          </w:p>
        </w:tc>
        <w:tc>
          <w:tcPr>
            <w:tcW w:w="1417" w:type="dxa"/>
          </w:tcPr>
          <w:p>
            <w:pPr>
              <w:pStyle w:val="0"/>
              <w:jc w:val="center"/>
            </w:pPr>
            <w:r>
              <w:rPr>
                <w:sz w:val="24"/>
              </w:rPr>
              <w:t xml:space="preserve">отчет МТиСР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3.4. Предоставление доступа к объектам спорта Новосибирской области для занятий физической культурой и спортом, в том числе детям из малообеспеченных семей</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МФКиС НСО</w:t>
            </w:r>
          </w:p>
        </w:tc>
        <w:tc>
          <w:tcPr>
            <w:tcW w:w="2438" w:type="dxa"/>
          </w:tcPr>
          <w:p>
            <w:pPr>
              <w:pStyle w:val="0"/>
              <w:jc w:val="both"/>
            </w:pPr>
            <w:r>
              <w:rPr>
                <w:sz w:val="24"/>
              </w:rPr>
              <w:t xml:space="preserve">предоставление доступа к объектам спорта по факту обращения</w:t>
            </w:r>
          </w:p>
        </w:tc>
        <w:tc>
          <w:tcPr>
            <w:tcW w:w="1417" w:type="dxa"/>
          </w:tcPr>
          <w:p>
            <w:pPr>
              <w:pStyle w:val="0"/>
              <w:jc w:val="center"/>
            </w:pPr>
            <w:r>
              <w:rPr>
                <w:sz w:val="24"/>
              </w:rPr>
              <w:t xml:space="preserve">отчет МФКиС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3.5. Приобретение и монтаж оборудования для создания "умных" спортивных площадок (плоскостное спортивное сооружение)</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МФКиС НСО</w:t>
            </w:r>
          </w:p>
        </w:tc>
        <w:tc>
          <w:tcPr>
            <w:tcW w:w="2438" w:type="dxa"/>
          </w:tcPr>
          <w:p>
            <w:pPr>
              <w:pStyle w:val="0"/>
              <w:jc w:val="both"/>
            </w:pPr>
            <w:r>
              <w:rPr>
                <w:sz w:val="24"/>
              </w:rPr>
              <w:t xml:space="preserve">приобретение спортивного оборудования для плоскостных спортивных сооружений - 2 муниципальных образования</w:t>
            </w:r>
          </w:p>
        </w:tc>
        <w:tc>
          <w:tcPr>
            <w:tcW w:w="1417" w:type="dxa"/>
          </w:tcPr>
          <w:p>
            <w:pPr>
              <w:pStyle w:val="0"/>
              <w:jc w:val="center"/>
            </w:pPr>
            <w:r>
              <w:rPr>
                <w:sz w:val="24"/>
              </w:rPr>
              <w:t xml:space="preserve">отчет МФКиС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3.6. Приобретение оборудования для оснащения спортивных площадок по подготовке к сдаче нормативов ГТО</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МФКиС НСО</w:t>
            </w:r>
          </w:p>
        </w:tc>
        <w:tc>
          <w:tcPr>
            <w:tcW w:w="2438" w:type="dxa"/>
          </w:tcPr>
          <w:p>
            <w:pPr>
              <w:pStyle w:val="0"/>
              <w:jc w:val="both"/>
            </w:pPr>
            <w:r>
              <w:rPr>
                <w:sz w:val="24"/>
              </w:rPr>
              <w:t xml:space="preserve">подготовка в 2024 - 2025 годах 64 спортивных площадок к сдаче нормативов ГТО</w:t>
            </w:r>
          </w:p>
        </w:tc>
        <w:tc>
          <w:tcPr>
            <w:tcW w:w="1417" w:type="dxa"/>
          </w:tcPr>
          <w:p>
            <w:pPr>
              <w:pStyle w:val="0"/>
              <w:jc w:val="center"/>
            </w:pPr>
            <w:r>
              <w:rPr>
                <w:sz w:val="24"/>
              </w:rPr>
              <w:t xml:space="preserve">отчет МФКиС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3.7. Обеспечение оборудованием и инвентарем спортивных объектов муниципальной собственности</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МФКиС НСО</w:t>
            </w:r>
          </w:p>
        </w:tc>
        <w:tc>
          <w:tcPr>
            <w:tcW w:w="2438" w:type="dxa"/>
          </w:tcPr>
          <w:p>
            <w:pPr>
              <w:pStyle w:val="0"/>
              <w:jc w:val="both"/>
            </w:pPr>
            <w:r>
              <w:rPr>
                <w:sz w:val="24"/>
              </w:rPr>
              <w:t xml:space="preserve">приобретение оборудования и инвентаря для спортивных объектов - 6 спортивных объектов в муниципальных образованиях</w:t>
            </w:r>
          </w:p>
        </w:tc>
        <w:tc>
          <w:tcPr>
            <w:tcW w:w="1417" w:type="dxa"/>
          </w:tcPr>
          <w:p>
            <w:pPr>
              <w:pStyle w:val="0"/>
              <w:jc w:val="center"/>
            </w:pPr>
            <w:r>
              <w:rPr>
                <w:sz w:val="24"/>
              </w:rPr>
              <w:t xml:space="preserve">отчет МФКиС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3.8. Предоставление малоимущим гражданам бесплатного (льготного) посещения мероприятий, проводимых учреждениями культуры, находящимися в ведении субъектов Российской Федерации</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МК НСО</w:t>
            </w:r>
          </w:p>
        </w:tc>
        <w:tc>
          <w:tcPr>
            <w:tcW w:w="2438" w:type="dxa"/>
          </w:tcPr>
          <w:p>
            <w:pPr>
              <w:pStyle w:val="0"/>
              <w:jc w:val="both"/>
            </w:pPr>
            <w:r>
              <w:rPr>
                <w:sz w:val="24"/>
              </w:rPr>
              <w:t xml:space="preserve">предоставление льготных посещений мероприятий не менее 57000 гражданам (пенсионеры, сироты, инвалиды, дети из многодетных семей) в рамках субсидии на выполнение государственных заданий и доходов от предпринимательской деятельности</w:t>
            </w:r>
          </w:p>
        </w:tc>
        <w:tc>
          <w:tcPr>
            <w:tcW w:w="1417" w:type="dxa"/>
          </w:tcPr>
          <w:p>
            <w:pPr>
              <w:pStyle w:val="0"/>
              <w:jc w:val="center"/>
            </w:pPr>
            <w:r>
              <w:rPr>
                <w:sz w:val="24"/>
              </w:rPr>
              <w:t xml:space="preserve">отчет МК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3.9. 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в государственных профессиональных образовательных организациях сферы культуры</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МК НСО</w:t>
            </w:r>
          </w:p>
        </w:tc>
        <w:tc>
          <w:tcPr>
            <w:tcW w:w="2438" w:type="dxa"/>
          </w:tcPr>
          <w:p>
            <w:pPr>
              <w:pStyle w:val="0"/>
              <w:jc w:val="both"/>
            </w:pPr>
            <w:r>
              <w:rPr>
                <w:sz w:val="24"/>
              </w:rPr>
              <w:t xml:space="preserve">социальное обеспечение (учебная литература, проезд и компенсация за питание, одежду, обувь, единовременное пособие выпускникам) не менее 50 лиц из числа детей-сирот и детей, оставшихся без попечения родителей, обучающихся в ГПОУ НСО и в ГАОУВО НСО "НГТИ", подведомственных МК НСО</w:t>
            </w:r>
          </w:p>
        </w:tc>
        <w:tc>
          <w:tcPr>
            <w:tcW w:w="1417" w:type="dxa"/>
          </w:tcPr>
          <w:p>
            <w:pPr>
              <w:pStyle w:val="0"/>
              <w:jc w:val="center"/>
            </w:pPr>
            <w:r>
              <w:rPr>
                <w:sz w:val="24"/>
              </w:rPr>
              <w:t xml:space="preserve">отчет МК НСО</w:t>
            </w:r>
          </w:p>
        </w:tc>
        <w:tc>
          <w:tcPr>
            <w:tcW w:w="1134" w:type="dxa"/>
          </w:tcPr>
          <w:p>
            <w:pPr>
              <w:pStyle w:val="0"/>
              <w:jc w:val="center"/>
            </w:pPr>
            <w:r>
              <w:rPr>
                <w:sz w:val="24"/>
              </w:rPr>
              <w:t xml:space="preserve">1</w:t>
            </w:r>
          </w:p>
        </w:tc>
        <w:tc>
          <w:tcPr>
            <w:tcW w:w="1134" w:type="dxa"/>
          </w:tcPr>
          <w:p>
            <w:pPr>
              <w:pStyle w:val="0"/>
            </w:pPr>
            <w:r>
              <w:rPr>
                <w:sz w:val="24"/>
              </w:rPr>
            </w:r>
          </w:p>
        </w:tc>
      </w:tr>
      <w:tr>
        <w:tc>
          <w:tcPr>
            <w:tcW w:w="5046" w:type="dxa"/>
          </w:tcPr>
          <w:p>
            <w:pPr>
              <w:pStyle w:val="0"/>
              <w:jc w:val="both"/>
            </w:pPr>
            <w:r>
              <w:rPr>
                <w:sz w:val="24"/>
              </w:rPr>
              <w:t xml:space="preserve">3.10. Обеспечение питанием отдельных категорий обучающихся государственных профессиональных образовательных организаций сферы культуры</w:t>
            </w:r>
          </w:p>
        </w:tc>
        <w:tc>
          <w:tcPr>
            <w:tcW w:w="1134" w:type="dxa"/>
          </w:tcPr>
          <w:p>
            <w:pPr>
              <w:pStyle w:val="0"/>
              <w:jc w:val="center"/>
            </w:pPr>
            <w:r>
              <w:rPr>
                <w:sz w:val="24"/>
              </w:rPr>
              <w:t xml:space="preserve">2024 - 2030</w:t>
            </w:r>
          </w:p>
        </w:tc>
        <w:tc>
          <w:tcPr>
            <w:tcW w:w="1304" w:type="dxa"/>
          </w:tcPr>
          <w:p>
            <w:pPr>
              <w:pStyle w:val="0"/>
              <w:jc w:val="center"/>
            </w:pPr>
            <w:r>
              <w:rPr>
                <w:sz w:val="24"/>
              </w:rPr>
              <w:t xml:space="preserve">МК НСО</w:t>
            </w:r>
          </w:p>
        </w:tc>
        <w:tc>
          <w:tcPr>
            <w:tcW w:w="2438" w:type="dxa"/>
          </w:tcPr>
          <w:p>
            <w:pPr>
              <w:pStyle w:val="0"/>
              <w:jc w:val="both"/>
            </w:pPr>
            <w:r>
              <w:rPr>
                <w:sz w:val="24"/>
              </w:rPr>
              <w:t xml:space="preserve">ежегодно 280 обучающихся по очной форме обучения (лица с ограниченными возможностями здоровья, дети-инвалиды, дети из малоимущих семей) будут обеспечены двухразовым питанием на льготных условиях или бесплатным питанием</w:t>
            </w:r>
          </w:p>
        </w:tc>
        <w:tc>
          <w:tcPr>
            <w:tcW w:w="1417" w:type="dxa"/>
          </w:tcPr>
          <w:p>
            <w:pPr>
              <w:pStyle w:val="0"/>
              <w:jc w:val="center"/>
            </w:pPr>
            <w:r>
              <w:rPr>
                <w:sz w:val="24"/>
              </w:rPr>
              <w:t xml:space="preserve">отчет МК НСО</w:t>
            </w:r>
          </w:p>
        </w:tc>
        <w:tc>
          <w:tcPr>
            <w:tcW w:w="1134" w:type="dxa"/>
          </w:tcPr>
          <w:p>
            <w:pPr>
              <w:pStyle w:val="0"/>
              <w:jc w:val="center"/>
            </w:pPr>
            <w:r>
              <w:rPr>
                <w:sz w:val="24"/>
              </w:rPr>
              <w:t xml:space="preserve">1</w:t>
            </w:r>
          </w:p>
        </w:tc>
        <w:tc>
          <w:tcPr>
            <w:tcW w:w="1134" w:type="dxa"/>
          </w:tcPr>
          <w:p>
            <w:pPr>
              <w:pStyle w:val="0"/>
            </w:pPr>
            <w:r>
              <w:rPr>
                <w:sz w:val="24"/>
              </w:rPr>
            </w:r>
          </w:p>
        </w:tc>
      </w:tr>
    </w:tbl>
    <w:p>
      <w:pPr>
        <w:sectPr>
          <w:headerReference w:type="default" r:id="rId8"/>
          <w:headerReference w:type="first" r:id="rId9"/>
          <w:footerReference w:type="default" r:id="rId20"/>
          <w:footerReference w:type="first" r:id="rId21"/>
          <w:pgSz w:w="16838" w:h="11906" w:orient="landscape"/>
          <w:pgMar w:top="1133" w:right="397" w:bottom="566" w:left="397" w:header="0" w:footer="0" w:gutter="0"/>
          <w:cols w:space="708"/>
          <w:docGrid w:linePitch="360"/>
          <w:titlePg/>
        </w:sectPr>
      </w:pPr>
    </w:p>
    <w:p>
      <w:pPr>
        <w:pStyle w:val="0"/>
        <w:ind w:firstLine="540"/>
        <w:jc w:val="both"/>
      </w:pPr>
      <w:r>
        <w:rPr>
          <w:sz w:val="24"/>
        </w:rPr>
      </w:r>
    </w:p>
    <w:p>
      <w:pPr>
        <w:pStyle w:val="0"/>
        <w:ind w:firstLine="540"/>
        <w:jc w:val="both"/>
      </w:pPr>
      <w:r>
        <w:rPr>
          <w:sz w:val="24"/>
        </w:rPr>
        <w:t xml:space="preserve">Применяемые сокращения:</w:t>
      </w:r>
    </w:p>
    <w:p>
      <w:pPr>
        <w:pStyle w:val="0"/>
        <w:spacing w:before="240"/>
        <w:ind w:firstLine="540"/>
        <w:jc w:val="both"/>
      </w:pPr>
      <w:r>
        <w:rPr>
          <w:sz w:val="24"/>
        </w:rPr>
        <w:t xml:space="preserve">МЗ НСО - министерство здравоохранения Новосибирской области;</w:t>
      </w:r>
    </w:p>
    <w:p>
      <w:pPr>
        <w:pStyle w:val="0"/>
        <w:spacing w:before="240"/>
        <w:ind w:firstLine="540"/>
        <w:jc w:val="both"/>
      </w:pPr>
      <w:r>
        <w:rPr>
          <w:sz w:val="24"/>
        </w:rPr>
        <w:t xml:space="preserve">МК НСО - министерство культуры Новосибирской области;</w:t>
      </w:r>
    </w:p>
    <w:p>
      <w:pPr>
        <w:pStyle w:val="0"/>
        <w:spacing w:before="240"/>
        <w:ind w:firstLine="540"/>
        <w:jc w:val="both"/>
      </w:pPr>
      <w:r>
        <w:rPr>
          <w:sz w:val="24"/>
        </w:rPr>
        <w:t xml:space="preserve">МО НСО - министерство образования Новосибирской области;</w:t>
      </w:r>
    </w:p>
    <w:p>
      <w:pPr>
        <w:pStyle w:val="0"/>
        <w:spacing w:before="240"/>
        <w:ind w:firstLine="540"/>
        <w:jc w:val="both"/>
      </w:pPr>
      <w:r>
        <w:rPr>
          <w:sz w:val="24"/>
        </w:rPr>
        <w:t xml:space="preserve">МПТиРП НСО - министерство промышленности, торговли и развития предпринимательства Новосибирской области;</w:t>
      </w:r>
    </w:p>
    <w:p>
      <w:pPr>
        <w:pStyle w:val="0"/>
        <w:spacing w:before="240"/>
        <w:ind w:firstLine="540"/>
        <w:jc w:val="both"/>
      </w:pPr>
      <w:r>
        <w:rPr>
          <w:sz w:val="24"/>
        </w:rPr>
        <w:t xml:space="preserve">МСХ НСО - министерство сельского хозяйства Новосибирской области;</w:t>
      </w:r>
    </w:p>
    <w:p>
      <w:pPr>
        <w:pStyle w:val="0"/>
        <w:spacing w:before="240"/>
        <w:ind w:firstLine="540"/>
        <w:jc w:val="both"/>
      </w:pPr>
      <w:r>
        <w:rPr>
          <w:sz w:val="24"/>
        </w:rPr>
        <w:t xml:space="preserve">МТиСР НСО - министерство труда и социального развития Новосибирской области;</w:t>
      </w:r>
    </w:p>
    <w:p>
      <w:pPr>
        <w:pStyle w:val="0"/>
        <w:spacing w:before="240"/>
        <w:ind w:firstLine="540"/>
        <w:jc w:val="both"/>
      </w:pPr>
      <w:r>
        <w:rPr>
          <w:sz w:val="24"/>
        </w:rPr>
        <w:t xml:space="preserve">МФКиС НСО - министерство физической культуры и спорта Новосибирской области;</w:t>
      </w:r>
    </w:p>
    <w:p>
      <w:pPr>
        <w:pStyle w:val="0"/>
        <w:spacing w:before="240"/>
        <w:ind w:firstLine="540"/>
        <w:jc w:val="both"/>
      </w:pPr>
      <w:r>
        <w:rPr>
          <w:sz w:val="24"/>
        </w:rPr>
        <w:t xml:space="preserve">МЭР НСО - министерство экономического развития Новосибирской области;</w:t>
      </w:r>
    </w:p>
    <w:p>
      <w:pPr>
        <w:pStyle w:val="0"/>
        <w:spacing w:before="240"/>
        <w:ind w:firstLine="540"/>
        <w:jc w:val="both"/>
      </w:pPr>
      <w:r>
        <w:rPr>
          <w:sz w:val="24"/>
        </w:rPr>
        <w:t xml:space="preserve">ОИО НСО - областные исполнительные органы Новосибирской области;</w:t>
      </w:r>
    </w:p>
    <w:p>
      <w:pPr>
        <w:pStyle w:val="0"/>
        <w:spacing w:before="240"/>
        <w:ind w:firstLine="540"/>
        <w:jc w:val="both"/>
      </w:pPr>
      <w:r>
        <w:rPr>
          <w:sz w:val="24"/>
        </w:rPr>
        <w:t xml:space="preserve">ОМСУ НСО - органы местного самоуправления муниципальных районов, муниципальных округов, городских округов Новосибирской области;</w:t>
      </w:r>
    </w:p>
    <w:p>
      <w:pPr>
        <w:pStyle w:val="0"/>
        <w:spacing w:before="240"/>
        <w:ind w:firstLine="540"/>
        <w:jc w:val="both"/>
      </w:pPr>
      <w:r>
        <w:rPr>
          <w:sz w:val="24"/>
        </w:rPr>
        <w:t xml:space="preserve">Росстат - Федеральная служба государственной статистики;</w:t>
      </w:r>
    </w:p>
    <w:p>
      <w:pPr>
        <w:pStyle w:val="0"/>
        <w:spacing w:before="240"/>
        <w:ind w:firstLine="540"/>
        <w:jc w:val="both"/>
      </w:pPr>
      <w:r>
        <w:rPr>
          <w:sz w:val="24"/>
        </w:rPr>
        <w:t xml:space="preserve">Получатели - получателями государственной социальной поддержки являются многодетные семьи, малоимущие граждане, граждане пожилого возраста, лица с ограниченными возможностями здоровья, дети-сироты, дети, оставшиеся без попечения родителей, дети-инвалиды, граждане, оказавшиеся в трудной жизненной ситуации.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1"/>
      </w:pPr>
      <w:r>
        <w:rPr>
          <w:sz w:val="24"/>
        </w:rPr>
        <w:t xml:space="preserve">Приложение N 3</w:t>
      </w:r>
    </w:p>
    <w:p>
      <w:pPr>
        <w:pStyle w:val="0"/>
        <w:jc w:val="right"/>
      </w:pPr>
      <w:r>
        <w:rPr>
          <w:sz w:val="24"/>
        </w:rPr>
        <w:t xml:space="preserve">к региональной программе</w:t>
      </w:r>
    </w:p>
    <w:p>
      <w:pPr>
        <w:pStyle w:val="0"/>
        <w:jc w:val="right"/>
      </w:pPr>
      <w:r>
        <w:rPr>
          <w:sz w:val="24"/>
        </w:rPr>
        <w:t xml:space="preserve">Новосибирской области</w:t>
      </w:r>
    </w:p>
    <w:p>
      <w:pPr>
        <w:pStyle w:val="0"/>
        <w:jc w:val="right"/>
      </w:pPr>
      <w:r>
        <w:rPr>
          <w:sz w:val="24"/>
        </w:rPr>
        <w:t xml:space="preserve">"Снижение доли населения с</w:t>
      </w:r>
    </w:p>
    <w:p>
      <w:pPr>
        <w:pStyle w:val="0"/>
        <w:jc w:val="right"/>
      </w:pPr>
      <w:r>
        <w:rPr>
          <w:sz w:val="24"/>
        </w:rPr>
        <w:t xml:space="preserve">доходами ниже границы бедности</w:t>
      </w:r>
    </w:p>
    <w:p>
      <w:pPr>
        <w:pStyle w:val="0"/>
        <w:jc w:val="right"/>
      </w:pPr>
      <w:r>
        <w:rPr>
          <w:sz w:val="24"/>
        </w:rPr>
        <w:t xml:space="preserve">в Новосибирской области</w:t>
      </w:r>
    </w:p>
    <w:p>
      <w:pPr>
        <w:pStyle w:val="0"/>
        <w:jc w:val="right"/>
      </w:pPr>
      <w:r>
        <w:rPr>
          <w:sz w:val="24"/>
        </w:rPr>
        <w:t xml:space="preserve">на период до 2030 года"</w:t>
      </w:r>
    </w:p>
    <w:p>
      <w:pPr>
        <w:pStyle w:val="0"/>
        <w:ind w:firstLine="540"/>
        <w:jc w:val="both"/>
      </w:pPr>
      <w:r>
        <w:rPr>
          <w:sz w:val="24"/>
        </w:rPr>
      </w:r>
    </w:p>
    <w:p>
      <w:pPr>
        <w:pStyle w:val="0"/>
        <w:jc w:val="center"/>
      </w:pPr>
      <w:r>
        <w:rPr>
          <w:sz w:val="24"/>
        </w:rPr>
        <w:t xml:space="preserve">ПЛАН-ГРАФИК</w:t>
      </w:r>
    </w:p>
    <w:p>
      <w:pPr>
        <w:pStyle w:val="0"/>
        <w:jc w:val="center"/>
      </w:pPr>
      <w:r>
        <w:rPr>
          <w:sz w:val="24"/>
        </w:rPr>
        <w:t xml:space="preserve">реализации региональной программы Новосибирской области</w:t>
      </w:r>
    </w:p>
    <w:p>
      <w:pPr>
        <w:pStyle w:val="0"/>
        <w:jc w:val="center"/>
      </w:pPr>
      <w:r>
        <w:rPr>
          <w:sz w:val="24"/>
        </w:rPr>
        <w:t xml:space="preserve">"Снижение доли населения с денежными доходами ниже границы</w:t>
      </w:r>
    </w:p>
    <w:p>
      <w:pPr>
        <w:pStyle w:val="0"/>
        <w:jc w:val="center"/>
      </w:pPr>
      <w:r>
        <w:rPr>
          <w:sz w:val="24"/>
        </w:rPr>
        <w:t xml:space="preserve">бедности в Новосибирской области на период до 2030 года"</w:t>
      </w:r>
    </w:p>
    <w:p>
      <w:pPr>
        <w:pStyle w:val="0"/>
        <w:ind w:firstLine="540"/>
        <w:jc w:val="both"/>
      </w:pPr>
      <w:r>
        <w:rPr>
          <w:sz w:val="24"/>
        </w:rPr>
      </w:r>
    </w:p>
    <w:p>
      <w:pPr>
        <w:pStyle w:val="0"/>
        <w:jc w:val="right"/>
        <w:outlineLvl w:val="2"/>
      </w:pPr>
      <w:r>
        <w:rPr>
          <w:sz w:val="24"/>
        </w:rPr>
        <w:t xml:space="preserve">Форма 3.1</w:t>
      </w:r>
    </w:p>
    <w:p>
      <w:pPr>
        <w:pStyle w:val="0"/>
        <w:ind w:firstLine="540"/>
        <w:jc w:val="both"/>
      </w:pPr>
      <w:r>
        <w:rPr>
          <w:sz w:val="24"/>
        </w:rPr>
      </w:r>
    </w:p>
    <w:bookmarkStart w:id="985" w:name="P985"/>
    <w:bookmarkEnd w:id="985"/>
    <w:p>
      <w:pPr>
        <w:pStyle w:val="0"/>
        <w:jc w:val="center"/>
      </w:pPr>
      <w:r>
        <w:rPr>
          <w:sz w:val="24"/>
        </w:rPr>
        <w:t xml:space="preserve">План-график</w:t>
      </w:r>
    </w:p>
    <w:p>
      <w:pPr>
        <w:pStyle w:val="0"/>
        <w:jc w:val="center"/>
      </w:pPr>
      <w:r>
        <w:rPr>
          <w:sz w:val="24"/>
        </w:rPr>
        <w:t xml:space="preserve">реализации целевых показателей региональной программы</w:t>
      </w:r>
    </w:p>
    <w:p>
      <w:pPr>
        <w:pStyle w:val="0"/>
        <w:jc w:val="center"/>
      </w:pPr>
      <w:r>
        <w:rPr>
          <w:sz w:val="24"/>
        </w:rPr>
        <w:t xml:space="preserve">на плановый период ___________ года</w:t>
      </w:r>
    </w:p>
    <w:p>
      <w:pPr>
        <w:pStyle w:val="0"/>
        <w:ind w:firstLine="540"/>
        <w:jc w:val="both"/>
      </w:pPr>
      <w:r>
        <w:rPr>
          <w:sz w:val="24"/>
        </w:rPr>
      </w:r>
    </w:p>
    <w:p>
      <w:pPr>
        <w:sectPr>
          <w:headerReference w:type="default" r:id="rId10"/>
          <w:headerReference w:type="first" r:id="rId11"/>
          <w:footerReference w:type="default" r:id="rId22"/>
          <w:footerReference w:type="first" r:id="rId23"/>
          <w:pgSz w:w="11906" w:h="16838"/>
          <w:pgMar w:top="1440" w:right="566" w:bottom="1440" w:left="1133" w:header="0" w:footer="0" w:gutter="0"/>
          <w:cols w:space="708"/>
          <w:docGrid w:linePitch="360"/>
          <w:titlePg/>
        </w:sectPr>
      </w:pP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3005"/>
        <w:gridCol w:w="1276"/>
        <w:gridCol w:w="1560"/>
        <w:gridCol w:w="968"/>
        <w:gridCol w:w="968"/>
        <w:gridCol w:w="968"/>
        <w:gridCol w:w="968"/>
        <w:gridCol w:w="968"/>
        <w:gridCol w:w="968"/>
        <w:gridCol w:w="968"/>
        <w:gridCol w:w="972"/>
      </w:tblGrid>
      <w:tr>
        <w:tc>
          <w:tcPr>
            <w:tcW w:w="3005" w:type="dxa"/>
            <w:vMerge w:val="restart"/>
          </w:tcPr>
          <w:p>
            <w:pPr>
              <w:pStyle w:val="0"/>
              <w:jc w:val="center"/>
            </w:pPr>
            <w:r>
              <w:rPr>
                <w:sz w:val="24"/>
              </w:rPr>
              <w:t xml:space="preserve">Наименование целевого показателя</w:t>
            </w:r>
          </w:p>
        </w:tc>
        <w:tc>
          <w:tcPr>
            <w:tcW w:w="1276" w:type="dxa"/>
            <w:vMerge w:val="restart"/>
          </w:tcPr>
          <w:p>
            <w:pPr>
              <w:pStyle w:val="0"/>
              <w:jc w:val="center"/>
            </w:pPr>
            <w:r>
              <w:rPr>
                <w:sz w:val="24"/>
              </w:rPr>
              <w:t xml:space="preserve">Ед. измерения</w:t>
            </w:r>
          </w:p>
        </w:tc>
        <w:tc>
          <w:tcPr>
            <w:tcW w:w="1560" w:type="dxa"/>
            <w:vMerge w:val="restart"/>
          </w:tcPr>
          <w:p>
            <w:pPr>
              <w:pStyle w:val="0"/>
              <w:jc w:val="center"/>
            </w:pPr>
            <w:r>
              <w:rPr>
                <w:sz w:val="24"/>
              </w:rPr>
              <w:t xml:space="preserve">Исполнитель целевого показателя</w:t>
            </w:r>
          </w:p>
        </w:tc>
        <w:tc>
          <w:tcPr>
            <w:tcW w:w="3872" w:type="dxa"/>
            <w:gridSpan w:val="4"/>
          </w:tcPr>
          <w:p>
            <w:pPr>
              <w:pStyle w:val="0"/>
              <w:jc w:val="center"/>
            </w:pPr>
            <w:r>
              <w:rPr>
                <w:sz w:val="24"/>
              </w:rPr>
              <w:t xml:space="preserve">Плановое значение целевого показателя на конец периода</w:t>
            </w:r>
          </w:p>
        </w:tc>
        <w:tc>
          <w:tcPr>
            <w:tcW w:w="3876" w:type="dxa"/>
            <w:gridSpan w:val="4"/>
          </w:tcPr>
          <w:p>
            <w:pPr>
              <w:pStyle w:val="0"/>
              <w:jc w:val="center"/>
            </w:pPr>
            <w:r>
              <w:rPr>
                <w:sz w:val="24"/>
              </w:rPr>
              <w:t xml:space="preserve">Объем ресурсного обеспечения на конец периода, тыс. рублей</w:t>
            </w:r>
          </w:p>
        </w:tc>
      </w:tr>
      <w:tr>
        <w:tc>
          <w:tcPr>
            <w:vMerge w:val="continue"/>
          </w:tcPr>
          <w:p/>
        </w:tc>
        <w:tc>
          <w:tcPr>
            <w:vMerge w:val="continue"/>
          </w:tcPr>
          <w:p/>
        </w:tc>
        <w:tc>
          <w:tcPr>
            <w:vMerge w:val="continue"/>
          </w:tcPr>
          <w:p/>
        </w:tc>
        <w:tc>
          <w:tcPr>
            <w:tcW w:w="968" w:type="dxa"/>
          </w:tcPr>
          <w:p>
            <w:pPr>
              <w:pStyle w:val="0"/>
              <w:jc w:val="center"/>
            </w:pPr>
            <w:r>
              <w:rPr>
                <w:sz w:val="24"/>
              </w:rPr>
              <w:t xml:space="preserve">3 месяца</w:t>
            </w:r>
          </w:p>
        </w:tc>
        <w:tc>
          <w:tcPr>
            <w:tcW w:w="968" w:type="dxa"/>
          </w:tcPr>
          <w:p>
            <w:pPr>
              <w:pStyle w:val="0"/>
              <w:jc w:val="center"/>
            </w:pPr>
            <w:r>
              <w:rPr>
                <w:sz w:val="24"/>
              </w:rPr>
              <w:t xml:space="preserve">6 месяцев</w:t>
            </w:r>
          </w:p>
        </w:tc>
        <w:tc>
          <w:tcPr>
            <w:tcW w:w="968" w:type="dxa"/>
          </w:tcPr>
          <w:p>
            <w:pPr>
              <w:pStyle w:val="0"/>
              <w:jc w:val="center"/>
            </w:pPr>
            <w:r>
              <w:rPr>
                <w:sz w:val="24"/>
              </w:rPr>
              <w:t xml:space="preserve">9 месяцев</w:t>
            </w:r>
          </w:p>
        </w:tc>
        <w:tc>
          <w:tcPr>
            <w:tcW w:w="968" w:type="dxa"/>
          </w:tcPr>
          <w:p>
            <w:pPr>
              <w:pStyle w:val="0"/>
              <w:jc w:val="center"/>
            </w:pPr>
            <w:r>
              <w:rPr>
                <w:sz w:val="24"/>
              </w:rPr>
              <w:t xml:space="preserve">12 месяцев</w:t>
            </w:r>
          </w:p>
        </w:tc>
        <w:tc>
          <w:tcPr>
            <w:tcW w:w="968" w:type="dxa"/>
          </w:tcPr>
          <w:p>
            <w:pPr>
              <w:pStyle w:val="0"/>
              <w:jc w:val="center"/>
            </w:pPr>
            <w:r>
              <w:rPr>
                <w:sz w:val="24"/>
              </w:rPr>
              <w:t xml:space="preserve">3 месяца</w:t>
            </w:r>
          </w:p>
        </w:tc>
        <w:tc>
          <w:tcPr>
            <w:tcW w:w="968" w:type="dxa"/>
          </w:tcPr>
          <w:p>
            <w:pPr>
              <w:pStyle w:val="0"/>
              <w:jc w:val="center"/>
            </w:pPr>
            <w:r>
              <w:rPr>
                <w:sz w:val="24"/>
              </w:rPr>
              <w:t xml:space="preserve">6 месяцев</w:t>
            </w:r>
          </w:p>
        </w:tc>
        <w:tc>
          <w:tcPr>
            <w:tcW w:w="968" w:type="dxa"/>
          </w:tcPr>
          <w:p>
            <w:pPr>
              <w:pStyle w:val="0"/>
              <w:jc w:val="center"/>
            </w:pPr>
            <w:r>
              <w:rPr>
                <w:sz w:val="24"/>
              </w:rPr>
              <w:t xml:space="preserve">9 месяцев</w:t>
            </w:r>
          </w:p>
        </w:tc>
        <w:tc>
          <w:tcPr>
            <w:tcW w:w="972" w:type="dxa"/>
          </w:tcPr>
          <w:p>
            <w:pPr>
              <w:pStyle w:val="0"/>
              <w:jc w:val="center"/>
            </w:pPr>
            <w:r>
              <w:rPr>
                <w:sz w:val="24"/>
              </w:rPr>
              <w:t xml:space="preserve">12 месяцев</w:t>
            </w:r>
          </w:p>
        </w:tc>
      </w:tr>
      <w:tr>
        <w:tc>
          <w:tcPr>
            <w:tcW w:w="3005" w:type="dxa"/>
          </w:tcPr>
          <w:p>
            <w:pPr>
              <w:pStyle w:val="0"/>
              <w:jc w:val="center"/>
            </w:pPr>
            <w:r>
              <w:rPr>
                <w:sz w:val="24"/>
              </w:rPr>
              <w:t xml:space="preserve">1</w:t>
            </w:r>
          </w:p>
        </w:tc>
        <w:tc>
          <w:tcPr>
            <w:tcW w:w="1276" w:type="dxa"/>
          </w:tcPr>
          <w:p>
            <w:pPr>
              <w:pStyle w:val="0"/>
              <w:jc w:val="center"/>
            </w:pPr>
            <w:r>
              <w:rPr>
                <w:sz w:val="24"/>
              </w:rPr>
              <w:t xml:space="preserve">2</w:t>
            </w:r>
          </w:p>
        </w:tc>
        <w:tc>
          <w:tcPr>
            <w:tcW w:w="1560" w:type="dxa"/>
          </w:tcPr>
          <w:p>
            <w:pPr>
              <w:pStyle w:val="0"/>
              <w:jc w:val="center"/>
            </w:pPr>
            <w:r>
              <w:rPr>
                <w:sz w:val="24"/>
              </w:rPr>
              <w:t xml:space="preserve">3</w:t>
            </w:r>
          </w:p>
        </w:tc>
        <w:tc>
          <w:tcPr>
            <w:tcW w:w="968" w:type="dxa"/>
          </w:tcPr>
          <w:p>
            <w:pPr>
              <w:pStyle w:val="0"/>
              <w:jc w:val="center"/>
            </w:pPr>
            <w:r>
              <w:rPr>
                <w:sz w:val="24"/>
              </w:rPr>
              <w:t xml:space="preserve">4</w:t>
            </w:r>
          </w:p>
        </w:tc>
        <w:tc>
          <w:tcPr>
            <w:tcW w:w="968" w:type="dxa"/>
          </w:tcPr>
          <w:p>
            <w:pPr>
              <w:pStyle w:val="0"/>
              <w:jc w:val="center"/>
            </w:pPr>
            <w:r>
              <w:rPr>
                <w:sz w:val="24"/>
              </w:rPr>
              <w:t xml:space="preserve">5</w:t>
            </w:r>
          </w:p>
        </w:tc>
        <w:tc>
          <w:tcPr>
            <w:tcW w:w="968" w:type="dxa"/>
          </w:tcPr>
          <w:p>
            <w:pPr>
              <w:pStyle w:val="0"/>
              <w:jc w:val="center"/>
            </w:pPr>
            <w:r>
              <w:rPr>
                <w:sz w:val="24"/>
              </w:rPr>
              <w:t xml:space="preserve">6</w:t>
            </w:r>
          </w:p>
        </w:tc>
        <w:tc>
          <w:tcPr>
            <w:tcW w:w="968" w:type="dxa"/>
          </w:tcPr>
          <w:p>
            <w:pPr>
              <w:pStyle w:val="0"/>
              <w:jc w:val="center"/>
            </w:pPr>
            <w:r>
              <w:rPr>
                <w:sz w:val="24"/>
              </w:rPr>
              <w:t xml:space="preserve">7</w:t>
            </w:r>
          </w:p>
        </w:tc>
        <w:tc>
          <w:tcPr>
            <w:tcW w:w="968" w:type="dxa"/>
          </w:tcPr>
          <w:p>
            <w:pPr>
              <w:pStyle w:val="0"/>
              <w:jc w:val="center"/>
            </w:pPr>
            <w:r>
              <w:rPr>
                <w:sz w:val="24"/>
              </w:rPr>
              <w:t xml:space="preserve">8</w:t>
            </w:r>
          </w:p>
        </w:tc>
        <w:tc>
          <w:tcPr>
            <w:tcW w:w="968" w:type="dxa"/>
          </w:tcPr>
          <w:p>
            <w:pPr>
              <w:pStyle w:val="0"/>
              <w:jc w:val="center"/>
            </w:pPr>
            <w:r>
              <w:rPr>
                <w:sz w:val="24"/>
              </w:rPr>
              <w:t xml:space="preserve">9</w:t>
            </w:r>
          </w:p>
        </w:tc>
        <w:tc>
          <w:tcPr>
            <w:tcW w:w="968" w:type="dxa"/>
          </w:tcPr>
          <w:p>
            <w:pPr>
              <w:pStyle w:val="0"/>
              <w:jc w:val="center"/>
            </w:pPr>
            <w:r>
              <w:rPr>
                <w:sz w:val="24"/>
              </w:rPr>
              <w:t xml:space="preserve">10</w:t>
            </w:r>
          </w:p>
        </w:tc>
        <w:tc>
          <w:tcPr>
            <w:tcW w:w="972" w:type="dxa"/>
          </w:tcPr>
          <w:p>
            <w:pPr>
              <w:pStyle w:val="0"/>
              <w:jc w:val="center"/>
            </w:pPr>
            <w:r>
              <w:rPr>
                <w:sz w:val="24"/>
              </w:rPr>
              <w:t xml:space="preserve">11</w:t>
            </w:r>
          </w:p>
        </w:tc>
      </w:tr>
      <w:tr>
        <w:tc>
          <w:tcPr>
            <w:tcW w:w="3005" w:type="dxa"/>
          </w:tcPr>
          <w:p>
            <w:pPr>
              <w:pStyle w:val="0"/>
            </w:pPr>
            <w:r>
              <w:rPr>
                <w:sz w:val="24"/>
              </w:rPr>
              <w:t xml:space="preserve">1. Целевой показатель</w:t>
            </w:r>
          </w:p>
        </w:tc>
        <w:tc>
          <w:tcPr>
            <w:tcW w:w="1276" w:type="dxa"/>
          </w:tcPr>
          <w:p>
            <w:pPr>
              <w:pStyle w:val="0"/>
            </w:pPr>
            <w:r>
              <w:rPr>
                <w:sz w:val="24"/>
              </w:rPr>
            </w:r>
          </w:p>
        </w:tc>
        <w:tc>
          <w:tcPr>
            <w:tcW w:w="1560"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72" w:type="dxa"/>
          </w:tcPr>
          <w:p>
            <w:pPr>
              <w:pStyle w:val="0"/>
            </w:pPr>
            <w:r>
              <w:rPr>
                <w:sz w:val="24"/>
              </w:rPr>
            </w:r>
          </w:p>
        </w:tc>
      </w:tr>
      <w:tr>
        <w:tc>
          <w:tcPr>
            <w:tcW w:w="3005" w:type="dxa"/>
          </w:tcPr>
          <w:p>
            <w:pPr>
              <w:pStyle w:val="0"/>
            </w:pPr>
            <w:r>
              <w:rPr>
                <w:sz w:val="24"/>
              </w:rPr>
              <w:t xml:space="preserve">...</w:t>
            </w:r>
          </w:p>
        </w:tc>
        <w:tc>
          <w:tcPr>
            <w:tcW w:w="1276" w:type="dxa"/>
          </w:tcPr>
          <w:p>
            <w:pPr>
              <w:pStyle w:val="0"/>
            </w:pPr>
            <w:r>
              <w:rPr>
                <w:sz w:val="24"/>
              </w:rPr>
            </w:r>
          </w:p>
        </w:tc>
        <w:tc>
          <w:tcPr>
            <w:tcW w:w="1560"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68" w:type="dxa"/>
          </w:tcPr>
          <w:p>
            <w:pPr>
              <w:pStyle w:val="0"/>
            </w:pPr>
            <w:r>
              <w:rPr>
                <w:sz w:val="24"/>
              </w:rPr>
            </w:r>
          </w:p>
        </w:tc>
        <w:tc>
          <w:tcPr>
            <w:tcW w:w="972" w:type="dxa"/>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2"/>
      </w:pPr>
      <w:r>
        <w:rPr>
          <w:sz w:val="24"/>
        </w:rPr>
        <w:t xml:space="preserve">Форма 3.2</w:t>
      </w:r>
    </w:p>
    <w:p>
      <w:pPr>
        <w:pStyle w:val="0"/>
        <w:ind w:firstLine="540"/>
        <w:jc w:val="both"/>
      </w:pPr>
      <w:r>
        <w:rPr>
          <w:sz w:val="24"/>
        </w:rPr>
      </w:r>
    </w:p>
    <w:bookmarkStart w:id="1040" w:name="P1040"/>
    <w:bookmarkEnd w:id="1040"/>
    <w:p>
      <w:pPr>
        <w:pStyle w:val="0"/>
        <w:jc w:val="center"/>
      </w:pPr>
      <w:r>
        <w:rPr>
          <w:sz w:val="24"/>
        </w:rPr>
        <w:t xml:space="preserve">План-график</w:t>
      </w:r>
    </w:p>
    <w:p>
      <w:pPr>
        <w:pStyle w:val="0"/>
        <w:jc w:val="center"/>
      </w:pPr>
      <w:r>
        <w:rPr>
          <w:sz w:val="24"/>
        </w:rPr>
        <w:t xml:space="preserve">реализации плана мероприятий региональной программы</w:t>
      </w:r>
    </w:p>
    <w:p>
      <w:pPr>
        <w:pStyle w:val="0"/>
        <w:jc w:val="center"/>
      </w:pPr>
      <w:r>
        <w:rPr>
          <w:sz w:val="24"/>
        </w:rPr>
        <w:t xml:space="preserve">на плановый период ___________ года</w:t>
      </w:r>
    </w:p>
    <w:p>
      <w:pPr>
        <w:pStyle w:val="0"/>
        <w:ind w:firstLine="54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1696"/>
        <w:gridCol w:w="1134"/>
        <w:gridCol w:w="1247"/>
        <w:gridCol w:w="1757"/>
        <w:gridCol w:w="969"/>
        <w:gridCol w:w="969"/>
        <w:gridCol w:w="969"/>
        <w:gridCol w:w="969"/>
        <w:gridCol w:w="969"/>
        <w:gridCol w:w="969"/>
        <w:gridCol w:w="969"/>
        <w:gridCol w:w="972"/>
      </w:tblGrid>
      <w:tr>
        <w:tc>
          <w:tcPr>
            <w:tcW w:w="1696" w:type="dxa"/>
            <w:vMerge w:val="restart"/>
          </w:tcPr>
          <w:p>
            <w:pPr>
              <w:pStyle w:val="0"/>
              <w:jc w:val="center"/>
            </w:pPr>
            <w:r>
              <w:rPr>
                <w:sz w:val="24"/>
              </w:rPr>
              <w:t xml:space="preserve">Наименование задач и мероприятий</w:t>
            </w:r>
          </w:p>
        </w:tc>
        <w:tc>
          <w:tcPr>
            <w:tcW w:w="1134" w:type="dxa"/>
            <w:vMerge w:val="restart"/>
          </w:tcPr>
          <w:p>
            <w:pPr>
              <w:pStyle w:val="0"/>
              <w:jc w:val="center"/>
            </w:pPr>
            <w:r>
              <w:rPr>
                <w:sz w:val="24"/>
              </w:rPr>
              <w:t xml:space="preserve">Исполнитель мероприятия</w:t>
            </w:r>
          </w:p>
        </w:tc>
        <w:tc>
          <w:tcPr>
            <w:tcW w:w="1247" w:type="dxa"/>
            <w:vMerge w:val="restart"/>
          </w:tcPr>
          <w:p>
            <w:pPr>
              <w:pStyle w:val="0"/>
              <w:jc w:val="center"/>
            </w:pPr>
            <w:r>
              <w:rPr>
                <w:sz w:val="24"/>
              </w:rPr>
              <w:t xml:space="preserve">Плановая дата окончания реализации мероприятия &lt;*&gt;</w:t>
            </w:r>
          </w:p>
        </w:tc>
        <w:tc>
          <w:tcPr>
            <w:tcW w:w="1757" w:type="dxa"/>
            <w:vMerge w:val="restart"/>
          </w:tcPr>
          <w:p>
            <w:pPr>
              <w:pStyle w:val="0"/>
              <w:jc w:val="center"/>
            </w:pPr>
            <w:r>
              <w:rPr>
                <w:sz w:val="24"/>
              </w:rPr>
              <w:t xml:space="preserve">Номер целевого показателя, на достижение которого направлено мероприятие</w:t>
            </w:r>
          </w:p>
        </w:tc>
        <w:tc>
          <w:tcPr>
            <w:tcW w:w="3876" w:type="dxa"/>
            <w:gridSpan w:val="4"/>
          </w:tcPr>
          <w:p>
            <w:pPr>
              <w:pStyle w:val="0"/>
              <w:jc w:val="center"/>
            </w:pPr>
            <w:r>
              <w:rPr>
                <w:sz w:val="24"/>
              </w:rPr>
              <w:t xml:space="preserve">Ожидаемый результат реализации мероприятия на конец планового периода &lt;**&gt;</w:t>
            </w:r>
          </w:p>
        </w:tc>
        <w:tc>
          <w:tcPr>
            <w:tcW w:w="3879" w:type="dxa"/>
            <w:gridSpan w:val="4"/>
          </w:tcPr>
          <w:p>
            <w:pPr>
              <w:pStyle w:val="0"/>
              <w:jc w:val="center"/>
            </w:pPr>
            <w:r>
              <w:rPr>
                <w:sz w:val="24"/>
              </w:rPr>
              <w:t xml:space="preserve">Объем ресурсного обеспечения на конец планового периода, тыс. рублей</w:t>
            </w:r>
          </w:p>
        </w:tc>
      </w:tr>
      <w:tr>
        <w:tc>
          <w:tcPr>
            <w:vMerge w:val="continue"/>
          </w:tcPr>
          <w:p/>
        </w:tc>
        <w:tc>
          <w:tcPr>
            <w:vMerge w:val="continue"/>
          </w:tcPr>
          <w:p/>
        </w:tc>
        <w:tc>
          <w:tcPr>
            <w:vMerge w:val="continue"/>
          </w:tcPr>
          <w:p/>
        </w:tc>
        <w:tc>
          <w:tcPr>
            <w:vMerge w:val="continue"/>
          </w:tcPr>
          <w:p/>
        </w:tc>
        <w:tc>
          <w:tcPr>
            <w:tcW w:w="969" w:type="dxa"/>
          </w:tcPr>
          <w:p>
            <w:pPr>
              <w:pStyle w:val="0"/>
              <w:jc w:val="center"/>
            </w:pPr>
            <w:r>
              <w:rPr>
                <w:sz w:val="24"/>
              </w:rPr>
              <w:t xml:space="preserve">3 месяца</w:t>
            </w:r>
          </w:p>
        </w:tc>
        <w:tc>
          <w:tcPr>
            <w:tcW w:w="969" w:type="dxa"/>
          </w:tcPr>
          <w:p>
            <w:pPr>
              <w:pStyle w:val="0"/>
              <w:jc w:val="center"/>
            </w:pPr>
            <w:r>
              <w:rPr>
                <w:sz w:val="24"/>
              </w:rPr>
              <w:t xml:space="preserve">6 месяцев</w:t>
            </w:r>
          </w:p>
        </w:tc>
        <w:tc>
          <w:tcPr>
            <w:tcW w:w="969" w:type="dxa"/>
          </w:tcPr>
          <w:p>
            <w:pPr>
              <w:pStyle w:val="0"/>
              <w:jc w:val="center"/>
            </w:pPr>
            <w:r>
              <w:rPr>
                <w:sz w:val="24"/>
              </w:rPr>
              <w:t xml:space="preserve">9 месяцев</w:t>
            </w:r>
          </w:p>
        </w:tc>
        <w:tc>
          <w:tcPr>
            <w:tcW w:w="969" w:type="dxa"/>
          </w:tcPr>
          <w:p>
            <w:pPr>
              <w:pStyle w:val="0"/>
              <w:jc w:val="center"/>
            </w:pPr>
            <w:r>
              <w:rPr>
                <w:sz w:val="24"/>
              </w:rPr>
              <w:t xml:space="preserve">12 месяцев</w:t>
            </w:r>
          </w:p>
        </w:tc>
        <w:tc>
          <w:tcPr>
            <w:tcW w:w="969" w:type="dxa"/>
          </w:tcPr>
          <w:p>
            <w:pPr>
              <w:pStyle w:val="0"/>
              <w:jc w:val="center"/>
            </w:pPr>
            <w:r>
              <w:rPr>
                <w:sz w:val="24"/>
              </w:rPr>
              <w:t xml:space="preserve">3 месяца</w:t>
            </w:r>
          </w:p>
        </w:tc>
        <w:tc>
          <w:tcPr>
            <w:tcW w:w="969" w:type="dxa"/>
          </w:tcPr>
          <w:p>
            <w:pPr>
              <w:pStyle w:val="0"/>
              <w:jc w:val="center"/>
            </w:pPr>
            <w:r>
              <w:rPr>
                <w:sz w:val="24"/>
              </w:rPr>
              <w:t xml:space="preserve">6 месяцев</w:t>
            </w:r>
          </w:p>
        </w:tc>
        <w:tc>
          <w:tcPr>
            <w:tcW w:w="969" w:type="dxa"/>
          </w:tcPr>
          <w:p>
            <w:pPr>
              <w:pStyle w:val="0"/>
              <w:jc w:val="center"/>
            </w:pPr>
            <w:r>
              <w:rPr>
                <w:sz w:val="24"/>
              </w:rPr>
              <w:t xml:space="preserve">9 месяцев</w:t>
            </w:r>
          </w:p>
        </w:tc>
        <w:tc>
          <w:tcPr>
            <w:tcW w:w="972" w:type="dxa"/>
          </w:tcPr>
          <w:p>
            <w:pPr>
              <w:pStyle w:val="0"/>
              <w:jc w:val="center"/>
            </w:pPr>
            <w:r>
              <w:rPr>
                <w:sz w:val="24"/>
              </w:rPr>
              <w:t xml:space="preserve">12 месяцев</w:t>
            </w:r>
          </w:p>
        </w:tc>
      </w:tr>
      <w:tr>
        <w:tc>
          <w:tcPr>
            <w:tcW w:w="1696" w:type="dxa"/>
          </w:tcPr>
          <w:p>
            <w:pPr>
              <w:pStyle w:val="0"/>
              <w:jc w:val="center"/>
            </w:pPr>
            <w:r>
              <w:rPr>
                <w:sz w:val="24"/>
              </w:rPr>
              <w:t xml:space="preserve">1</w:t>
            </w:r>
          </w:p>
        </w:tc>
        <w:tc>
          <w:tcPr>
            <w:tcW w:w="1134" w:type="dxa"/>
          </w:tcPr>
          <w:p>
            <w:pPr>
              <w:pStyle w:val="0"/>
              <w:jc w:val="center"/>
            </w:pPr>
            <w:r>
              <w:rPr>
                <w:sz w:val="24"/>
              </w:rPr>
              <w:t xml:space="preserve">2</w:t>
            </w:r>
          </w:p>
        </w:tc>
        <w:tc>
          <w:tcPr>
            <w:tcW w:w="1247" w:type="dxa"/>
          </w:tcPr>
          <w:p>
            <w:pPr>
              <w:pStyle w:val="0"/>
              <w:jc w:val="center"/>
            </w:pPr>
            <w:r>
              <w:rPr>
                <w:sz w:val="24"/>
              </w:rPr>
              <w:t xml:space="preserve">3</w:t>
            </w:r>
          </w:p>
        </w:tc>
        <w:tc>
          <w:tcPr>
            <w:tcW w:w="1757" w:type="dxa"/>
          </w:tcPr>
          <w:p>
            <w:pPr>
              <w:pStyle w:val="0"/>
              <w:jc w:val="center"/>
            </w:pPr>
            <w:r>
              <w:rPr>
                <w:sz w:val="24"/>
              </w:rPr>
              <w:t xml:space="preserve">4</w:t>
            </w:r>
          </w:p>
        </w:tc>
        <w:tc>
          <w:tcPr>
            <w:tcW w:w="969" w:type="dxa"/>
          </w:tcPr>
          <w:p>
            <w:pPr>
              <w:pStyle w:val="0"/>
              <w:jc w:val="center"/>
            </w:pPr>
            <w:r>
              <w:rPr>
                <w:sz w:val="24"/>
              </w:rPr>
              <w:t xml:space="preserve">5</w:t>
            </w:r>
          </w:p>
        </w:tc>
        <w:tc>
          <w:tcPr>
            <w:tcW w:w="969" w:type="dxa"/>
          </w:tcPr>
          <w:p>
            <w:pPr>
              <w:pStyle w:val="0"/>
              <w:jc w:val="center"/>
            </w:pPr>
            <w:r>
              <w:rPr>
                <w:sz w:val="24"/>
              </w:rPr>
              <w:t xml:space="preserve">6</w:t>
            </w:r>
          </w:p>
        </w:tc>
        <w:tc>
          <w:tcPr>
            <w:tcW w:w="969" w:type="dxa"/>
          </w:tcPr>
          <w:p>
            <w:pPr>
              <w:pStyle w:val="0"/>
              <w:jc w:val="center"/>
            </w:pPr>
            <w:r>
              <w:rPr>
                <w:sz w:val="24"/>
              </w:rPr>
              <w:t xml:space="preserve">7</w:t>
            </w:r>
          </w:p>
        </w:tc>
        <w:tc>
          <w:tcPr>
            <w:tcW w:w="969" w:type="dxa"/>
          </w:tcPr>
          <w:p>
            <w:pPr>
              <w:pStyle w:val="0"/>
              <w:jc w:val="center"/>
            </w:pPr>
            <w:r>
              <w:rPr>
                <w:sz w:val="24"/>
              </w:rPr>
              <w:t xml:space="preserve">8</w:t>
            </w:r>
          </w:p>
        </w:tc>
        <w:tc>
          <w:tcPr>
            <w:tcW w:w="969" w:type="dxa"/>
          </w:tcPr>
          <w:p>
            <w:pPr>
              <w:pStyle w:val="0"/>
              <w:jc w:val="center"/>
            </w:pPr>
            <w:r>
              <w:rPr>
                <w:sz w:val="24"/>
              </w:rPr>
              <w:t xml:space="preserve">9</w:t>
            </w:r>
          </w:p>
        </w:tc>
        <w:tc>
          <w:tcPr>
            <w:tcW w:w="969" w:type="dxa"/>
          </w:tcPr>
          <w:p>
            <w:pPr>
              <w:pStyle w:val="0"/>
              <w:jc w:val="center"/>
            </w:pPr>
            <w:r>
              <w:rPr>
                <w:sz w:val="24"/>
              </w:rPr>
              <w:t xml:space="preserve">10</w:t>
            </w:r>
          </w:p>
        </w:tc>
        <w:tc>
          <w:tcPr>
            <w:tcW w:w="969" w:type="dxa"/>
          </w:tcPr>
          <w:p>
            <w:pPr>
              <w:pStyle w:val="0"/>
              <w:jc w:val="center"/>
            </w:pPr>
            <w:r>
              <w:rPr>
                <w:sz w:val="24"/>
              </w:rPr>
              <w:t xml:space="preserve">11</w:t>
            </w:r>
          </w:p>
        </w:tc>
        <w:tc>
          <w:tcPr>
            <w:tcW w:w="972" w:type="dxa"/>
          </w:tcPr>
          <w:p>
            <w:pPr>
              <w:pStyle w:val="0"/>
              <w:jc w:val="center"/>
            </w:pPr>
            <w:r>
              <w:rPr>
                <w:sz w:val="24"/>
              </w:rPr>
              <w:t xml:space="preserve">12</w:t>
            </w:r>
          </w:p>
        </w:tc>
      </w:tr>
      <w:tr>
        <w:tc>
          <w:tcPr>
            <w:tcW w:w="1696" w:type="dxa"/>
          </w:tcPr>
          <w:p>
            <w:pPr>
              <w:pStyle w:val="0"/>
              <w:jc w:val="both"/>
            </w:pPr>
            <w:r>
              <w:rPr>
                <w:sz w:val="24"/>
              </w:rPr>
              <w:t xml:space="preserve">Задача 1</w:t>
            </w:r>
          </w:p>
        </w:tc>
        <w:tc>
          <w:tcPr>
            <w:tcW w:w="1134" w:type="dxa"/>
          </w:tcPr>
          <w:p>
            <w:pPr>
              <w:pStyle w:val="0"/>
            </w:pPr>
            <w:r>
              <w:rPr>
                <w:sz w:val="24"/>
              </w:rPr>
            </w:r>
          </w:p>
        </w:tc>
        <w:tc>
          <w:tcPr>
            <w:tcW w:w="1247" w:type="dxa"/>
          </w:tcPr>
          <w:p>
            <w:pPr>
              <w:pStyle w:val="0"/>
            </w:pPr>
            <w:r>
              <w:rPr>
                <w:sz w:val="24"/>
              </w:rPr>
            </w:r>
          </w:p>
        </w:tc>
        <w:tc>
          <w:tcPr>
            <w:tcW w:w="1757"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72" w:type="dxa"/>
          </w:tcPr>
          <w:p>
            <w:pPr>
              <w:pStyle w:val="0"/>
            </w:pPr>
            <w:r>
              <w:rPr>
                <w:sz w:val="24"/>
              </w:rPr>
            </w:r>
          </w:p>
        </w:tc>
      </w:tr>
      <w:tr>
        <w:tc>
          <w:tcPr>
            <w:tcW w:w="1696" w:type="dxa"/>
          </w:tcPr>
          <w:p>
            <w:pPr>
              <w:pStyle w:val="0"/>
              <w:jc w:val="both"/>
            </w:pPr>
            <w:r>
              <w:rPr>
                <w:sz w:val="24"/>
              </w:rPr>
              <w:t xml:space="preserve">1.1. Мероприятие</w:t>
            </w:r>
          </w:p>
        </w:tc>
        <w:tc>
          <w:tcPr>
            <w:tcW w:w="1134" w:type="dxa"/>
          </w:tcPr>
          <w:p>
            <w:pPr>
              <w:pStyle w:val="0"/>
            </w:pPr>
            <w:r>
              <w:rPr>
                <w:sz w:val="24"/>
              </w:rPr>
            </w:r>
          </w:p>
        </w:tc>
        <w:tc>
          <w:tcPr>
            <w:tcW w:w="1247" w:type="dxa"/>
          </w:tcPr>
          <w:p>
            <w:pPr>
              <w:pStyle w:val="0"/>
            </w:pPr>
            <w:r>
              <w:rPr>
                <w:sz w:val="24"/>
              </w:rPr>
            </w:r>
          </w:p>
        </w:tc>
        <w:tc>
          <w:tcPr>
            <w:tcW w:w="1757"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72" w:type="dxa"/>
          </w:tcPr>
          <w:p>
            <w:pPr>
              <w:pStyle w:val="0"/>
            </w:pPr>
            <w:r>
              <w:rPr>
                <w:sz w:val="24"/>
              </w:rPr>
            </w:r>
          </w:p>
        </w:tc>
      </w:tr>
      <w:tr>
        <w:tc>
          <w:tcPr>
            <w:tcW w:w="1696" w:type="dxa"/>
          </w:tcPr>
          <w:p>
            <w:pPr>
              <w:pStyle w:val="0"/>
              <w:jc w:val="both"/>
            </w:pPr>
            <w:r>
              <w:rPr>
                <w:sz w:val="24"/>
              </w:rPr>
              <w:t xml:space="preserve">...</w:t>
            </w:r>
          </w:p>
        </w:tc>
        <w:tc>
          <w:tcPr>
            <w:tcW w:w="1134" w:type="dxa"/>
          </w:tcPr>
          <w:p>
            <w:pPr>
              <w:pStyle w:val="0"/>
            </w:pPr>
            <w:r>
              <w:rPr>
                <w:sz w:val="24"/>
              </w:rPr>
            </w:r>
          </w:p>
        </w:tc>
        <w:tc>
          <w:tcPr>
            <w:tcW w:w="1247" w:type="dxa"/>
          </w:tcPr>
          <w:p>
            <w:pPr>
              <w:pStyle w:val="0"/>
            </w:pPr>
            <w:r>
              <w:rPr>
                <w:sz w:val="24"/>
              </w:rPr>
            </w:r>
          </w:p>
        </w:tc>
        <w:tc>
          <w:tcPr>
            <w:tcW w:w="1757"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69" w:type="dxa"/>
          </w:tcPr>
          <w:p>
            <w:pPr>
              <w:pStyle w:val="0"/>
            </w:pPr>
            <w:r>
              <w:rPr>
                <w:sz w:val="24"/>
              </w:rPr>
            </w:r>
          </w:p>
        </w:tc>
        <w:tc>
          <w:tcPr>
            <w:tcW w:w="972" w:type="dxa"/>
          </w:tcPr>
          <w:p>
            <w:pPr>
              <w:pStyle w:val="0"/>
            </w:pPr>
            <w:r>
              <w:rPr>
                <w:sz w:val="24"/>
              </w:rPr>
            </w:r>
          </w:p>
        </w:tc>
      </w:tr>
    </w:tbl>
    <w:p>
      <w:pPr>
        <w:sectPr>
          <w:headerReference w:type="default" r:id="rId12"/>
          <w:headerReference w:type="first" r:id="rId13"/>
          <w:footerReference w:type="default" r:id="rId24"/>
          <w:footerReference w:type="first" r:id="rId25"/>
          <w:pgSz w:w="16838" w:h="11906" w:orient="landscape"/>
          <w:pgMar w:top="1133" w:right="1440" w:bottom="566" w:left="1440" w:header="0" w:footer="0" w:gutter="0"/>
          <w:cols w:space="708"/>
          <w:docGrid w:linePitch="360"/>
          <w:titlePg/>
        </w:sectPr>
      </w:pPr>
    </w:p>
    <w:p>
      <w:pPr>
        <w:pStyle w:val="0"/>
        <w:ind w:firstLine="540"/>
        <w:jc w:val="both"/>
      </w:pPr>
      <w:r>
        <w:rPr>
          <w:sz w:val="24"/>
        </w:rPr>
      </w:r>
    </w:p>
    <w:p>
      <w:pPr>
        <w:pStyle w:val="0"/>
        <w:ind w:firstLine="540"/>
        <w:jc w:val="both"/>
      </w:pPr>
      <w:r>
        <w:rPr>
          <w:sz w:val="24"/>
        </w:rPr>
        <w:t xml:space="preserve">--------------------------------</w:t>
      </w:r>
    </w:p>
    <w:p>
      <w:pPr>
        <w:pStyle w:val="0"/>
        <w:spacing w:before="240"/>
        <w:ind w:firstLine="540"/>
        <w:jc w:val="both"/>
      </w:pPr>
      <w:r>
        <w:rPr>
          <w:sz w:val="24"/>
        </w:rPr>
        <w:t xml:space="preserve">&lt;*&gt; Плановая дата окончания реализации мероприятия соответствует концу года реализации мероприятия (например: срок реализации мероприятия 2021 - 2030 годы - плановая дата окончания реализации мероприятия 31.12.2030).</w:t>
      </w:r>
    </w:p>
    <w:p>
      <w:pPr>
        <w:pStyle w:val="0"/>
        <w:spacing w:before="240"/>
        <w:ind w:firstLine="540"/>
        <w:jc w:val="both"/>
      </w:pPr>
      <w:r>
        <w:rPr>
          <w:sz w:val="24"/>
        </w:rPr>
        <w:t xml:space="preserve">&lt;**&gt; Ожидаемый результат реализации мероприятия предполагает количественные показатели на конец планового периода.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1"/>
      </w:pPr>
      <w:r>
        <w:rPr>
          <w:sz w:val="24"/>
        </w:rPr>
        <w:t xml:space="preserve">Приложение N 4</w:t>
      </w:r>
    </w:p>
    <w:p>
      <w:pPr>
        <w:pStyle w:val="0"/>
        <w:jc w:val="right"/>
      </w:pPr>
      <w:r>
        <w:rPr>
          <w:sz w:val="24"/>
        </w:rPr>
        <w:t xml:space="preserve">к региональной программе</w:t>
      </w:r>
    </w:p>
    <w:p>
      <w:pPr>
        <w:pStyle w:val="0"/>
        <w:jc w:val="right"/>
      </w:pPr>
      <w:r>
        <w:rPr>
          <w:sz w:val="24"/>
        </w:rPr>
        <w:t xml:space="preserve">Новосибирской области</w:t>
      </w:r>
    </w:p>
    <w:p>
      <w:pPr>
        <w:pStyle w:val="0"/>
        <w:jc w:val="right"/>
      </w:pPr>
      <w:r>
        <w:rPr>
          <w:sz w:val="24"/>
        </w:rPr>
        <w:t xml:space="preserve">"Снижение доли населения с</w:t>
      </w:r>
    </w:p>
    <w:p>
      <w:pPr>
        <w:pStyle w:val="0"/>
        <w:jc w:val="right"/>
      </w:pPr>
      <w:r>
        <w:rPr>
          <w:sz w:val="24"/>
        </w:rPr>
        <w:t xml:space="preserve">доходами ниже границы бедности</w:t>
      </w:r>
    </w:p>
    <w:p>
      <w:pPr>
        <w:pStyle w:val="0"/>
        <w:jc w:val="right"/>
      </w:pPr>
      <w:r>
        <w:rPr>
          <w:sz w:val="24"/>
        </w:rPr>
        <w:t xml:space="preserve">в Новосибирской области</w:t>
      </w:r>
    </w:p>
    <w:p>
      <w:pPr>
        <w:pStyle w:val="0"/>
        <w:jc w:val="right"/>
      </w:pPr>
      <w:r>
        <w:rPr>
          <w:sz w:val="24"/>
        </w:rPr>
        <w:t xml:space="preserve">на период до 2030 года"</w:t>
      </w:r>
    </w:p>
    <w:p>
      <w:pPr>
        <w:pStyle w:val="0"/>
        <w:ind w:firstLine="540"/>
        <w:jc w:val="both"/>
      </w:pPr>
      <w:r>
        <w:rPr>
          <w:sz w:val="24"/>
        </w:rPr>
      </w:r>
    </w:p>
    <w:p>
      <w:pPr>
        <w:pStyle w:val="0"/>
        <w:jc w:val="center"/>
      </w:pPr>
      <w:r>
        <w:rPr>
          <w:sz w:val="24"/>
        </w:rPr>
        <w:t xml:space="preserve">МОНИТОРИНГ РЕАЛИЗАЦИИ</w:t>
      </w:r>
    </w:p>
    <w:p>
      <w:pPr>
        <w:pStyle w:val="0"/>
        <w:jc w:val="center"/>
      </w:pPr>
      <w:r>
        <w:rPr>
          <w:sz w:val="24"/>
        </w:rPr>
        <w:t xml:space="preserve">региональной программы Новосибирской области</w:t>
      </w:r>
    </w:p>
    <w:p>
      <w:pPr>
        <w:pStyle w:val="0"/>
        <w:jc w:val="center"/>
      </w:pPr>
      <w:r>
        <w:rPr>
          <w:sz w:val="24"/>
        </w:rPr>
        <w:t xml:space="preserve">"Снижение доли населения с денежными доходами</w:t>
      </w:r>
    </w:p>
    <w:p>
      <w:pPr>
        <w:pStyle w:val="0"/>
        <w:jc w:val="center"/>
      </w:pPr>
      <w:r>
        <w:rPr>
          <w:sz w:val="24"/>
        </w:rPr>
        <w:t xml:space="preserve">ниже границы бедности в Новосибирской области</w:t>
      </w:r>
    </w:p>
    <w:p>
      <w:pPr>
        <w:pStyle w:val="0"/>
        <w:jc w:val="center"/>
      </w:pPr>
      <w:r>
        <w:rPr>
          <w:sz w:val="24"/>
        </w:rPr>
        <w:t xml:space="preserve">на период до 2030 года" (квартальный)</w:t>
      </w:r>
    </w:p>
    <w:p>
      <w:pPr>
        <w:pStyle w:val="0"/>
        <w:ind w:firstLine="540"/>
        <w:jc w:val="both"/>
      </w:pPr>
      <w:r>
        <w:rPr>
          <w:sz w:val="24"/>
        </w:rPr>
      </w:r>
    </w:p>
    <w:p>
      <w:pPr>
        <w:pStyle w:val="0"/>
        <w:jc w:val="right"/>
        <w:outlineLvl w:val="2"/>
      </w:pPr>
      <w:r>
        <w:rPr>
          <w:sz w:val="24"/>
        </w:rPr>
        <w:t xml:space="preserve">Форма 4.1</w:t>
      </w:r>
    </w:p>
    <w:p>
      <w:pPr>
        <w:pStyle w:val="0"/>
        <w:ind w:firstLine="540"/>
        <w:jc w:val="both"/>
      </w:pPr>
      <w:r>
        <w:rPr>
          <w:sz w:val="24"/>
        </w:rPr>
      </w:r>
    </w:p>
    <w:bookmarkStart w:id="1131" w:name="P1131"/>
    <w:bookmarkEnd w:id="1131"/>
    <w:p>
      <w:pPr>
        <w:pStyle w:val="0"/>
        <w:jc w:val="center"/>
      </w:pPr>
      <w:r>
        <w:rPr>
          <w:sz w:val="24"/>
        </w:rPr>
        <w:t xml:space="preserve">Отчет</w:t>
      </w:r>
    </w:p>
    <w:p>
      <w:pPr>
        <w:pStyle w:val="0"/>
        <w:jc w:val="center"/>
      </w:pPr>
      <w:r>
        <w:rPr>
          <w:sz w:val="24"/>
        </w:rPr>
        <w:t xml:space="preserve">о достижении значений целевых показателей региональной</w:t>
      </w:r>
    </w:p>
    <w:p>
      <w:pPr>
        <w:pStyle w:val="0"/>
        <w:jc w:val="center"/>
      </w:pPr>
      <w:r>
        <w:rPr>
          <w:sz w:val="24"/>
        </w:rPr>
        <w:t xml:space="preserve">программы Новосибирской области "Снижение доли населения</w:t>
      </w:r>
    </w:p>
    <w:p>
      <w:pPr>
        <w:pStyle w:val="0"/>
        <w:jc w:val="center"/>
      </w:pPr>
      <w:r>
        <w:rPr>
          <w:sz w:val="24"/>
        </w:rPr>
        <w:t xml:space="preserve">с денежными доходами ниже границы бедности в Новосибирской</w:t>
      </w:r>
    </w:p>
    <w:p>
      <w:pPr>
        <w:pStyle w:val="0"/>
        <w:jc w:val="center"/>
      </w:pPr>
      <w:r>
        <w:rPr>
          <w:sz w:val="24"/>
        </w:rPr>
        <w:t xml:space="preserve">области на период до 2030 года"</w:t>
      </w:r>
    </w:p>
    <w:p>
      <w:pPr>
        <w:pStyle w:val="0"/>
        <w:ind w:firstLine="540"/>
        <w:jc w:val="both"/>
      </w:pPr>
      <w:r>
        <w:rPr>
          <w:sz w:val="24"/>
        </w:rPr>
      </w:r>
    </w:p>
    <w:p>
      <w:pPr>
        <w:pStyle w:val="0"/>
        <w:jc w:val="center"/>
      </w:pPr>
      <w:r>
        <w:rPr>
          <w:sz w:val="24"/>
        </w:rPr>
        <w:t xml:space="preserve">Отчетный период ___________________ (квартал) _______ (год)</w:t>
      </w:r>
    </w:p>
    <w:p>
      <w:pPr>
        <w:pStyle w:val="0"/>
        <w:ind w:firstLine="540"/>
        <w:jc w:val="both"/>
      </w:pPr>
      <w:r>
        <w:rPr>
          <w:sz w:val="24"/>
        </w:rPr>
      </w:r>
    </w:p>
    <w:p>
      <w:pPr>
        <w:sectPr>
          <w:headerReference w:type="default" r:id="rId14"/>
          <w:headerReference w:type="first" r:id="rId15"/>
          <w:footerReference w:type="default" r:id="rId26"/>
          <w:footerReference w:type="first" r:id="rId27"/>
          <w:pgSz w:w="11906" w:h="16838"/>
          <w:pgMar w:top="1440" w:right="566" w:bottom="1440" w:left="1133" w:header="0" w:footer="0" w:gutter="0"/>
          <w:cols w:space="708"/>
          <w:docGrid w:linePitch="360"/>
          <w:titlePg/>
        </w:sectPr>
      </w:pP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1417"/>
        <w:gridCol w:w="680"/>
        <w:gridCol w:w="1417"/>
        <w:gridCol w:w="850"/>
        <w:gridCol w:w="850"/>
        <w:gridCol w:w="850"/>
        <w:gridCol w:w="850"/>
        <w:gridCol w:w="1087"/>
        <w:gridCol w:w="1087"/>
        <w:gridCol w:w="1087"/>
        <w:gridCol w:w="1089"/>
        <w:gridCol w:w="1474"/>
        <w:gridCol w:w="827"/>
      </w:tblGrid>
      <w:tr>
        <w:tc>
          <w:tcPr>
            <w:tcW w:w="1417" w:type="dxa"/>
            <w:vMerge w:val="restart"/>
          </w:tcPr>
          <w:p>
            <w:pPr>
              <w:pStyle w:val="0"/>
              <w:jc w:val="center"/>
            </w:pPr>
            <w:r>
              <w:rPr>
                <w:sz w:val="24"/>
              </w:rPr>
              <w:t xml:space="preserve">Наименование целевого показателя</w:t>
            </w:r>
          </w:p>
        </w:tc>
        <w:tc>
          <w:tcPr>
            <w:tcW w:w="680" w:type="dxa"/>
            <w:vMerge w:val="restart"/>
          </w:tcPr>
          <w:p>
            <w:pPr>
              <w:pStyle w:val="0"/>
              <w:jc w:val="center"/>
            </w:pPr>
            <w:r>
              <w:rPr>
                <w:sz w:val="24"/>
              </w:rPr>
              <w:t xml:space="preserve">Ед. измерения</w:t>
            </w:r>
          </w:p>
        </w:tc>
        <w:tc>
          <w:tcPr>
            <w:tcW w:w="1417" w:type="dxa"/>
            <w:vMerge w:val="restart"/>
          </w:tcPr>
          <w:p>
            <w:pPr>
              <w:pStyle w:val="0"/>
              <w:jc w:val="center"/>
            </w:pPr>
            <w:r>
              <w:rPr>
                <w:sz w:val="24"/>
              </w:rPr>
              <w:t xml:space="preserve">Исполнители</w:t>
            </w:r>
          </w:p>
        </w:tc>
        <w:tc>
          <w:tcPr>
            <w:tcW w:w="1700" w:type="dxa"/>
            <w:gridSpan w:val="2"/>
            <w:vMerge w:val="restart"/>
          </w:tcPr>
          <w:p>
            <w:pPr>
              <w:pStyle w:val="0"/>
              <w:jc w:val="center"/>
            </w:pPr>
            <w:r>
              <w:rPr>
                <w:sz w:val="24"/>
              </w:rPr>
              <w:t xml:space="preserve">Результат достижения целевого показателя на конец отчетного периода</w:t>
            </w:r>
          </w:p>
        </w:tc>
        <w:tc>
          <w:tcPr>
            <w:tcW w:w="6050" w:type="dxa"/>
            <w:gridSpan w:val="6"/>
          </w:tcPr>
          <w:p>
            <w:pPr>
              <w:pStyle w:val="0"/>
              <w:jc w:val="center"/>
            </w:pPr>
            <w:r>
              <w:rPr>
                <w:sz w:val="24"/>
              </w:rPr>
              <w:t xml:space="preserve">Расходы на реализацию, тыс. рублей</w:t>
            </w:r>
          </w:p>
        </w:tc>
        <w:tc>
          <w:tcPr>
            <w:tcW w:w="1474" w:type="dxa"/>
            <w:vMerge w:val="restart"/>
          </w:tcPr>
          <w:p>
            <w:pPr>
              <w:pStyle w:val="0"/>
              <w:jc w:val="center"/>
            </w:pPr>
            <w:r>
              <w:rPr>
                <w:sz w:val="24"/>
              </w:rPr>
              <w:t xml:space="preserve">Причины отклонений фактического значения целевого показателя от планового на конец отчетного периода</w:t>
            </w:r>
          </w:p>
        </w:tc>
        <w:tc>
          <w:tcPr>
            <w:tcW w:w="827" w:type="dxa"/>
            <w:vMerge w:val="restart"/>
          </w:tcPr>
          <w:p>
            <w:pPr>
              <w:pStyle w:val="0"/>
              <w:jc w:val="center"/>
            </w:pPr>
            <w:r>
              <w:rPr>
                <w:sz w:val="24"/>
              </w:rPr>
              <w:t xml:space="preserve">Примечание</w:t>
            </w:r>
          </w:p>
        </w:tc>
      </w:tr>
      <w:tr>
        <w:tc>
          <w:tcPr>
            <w:vMerge w:val="continue"/>
          </w:tcPr>
          <w:p/>
        </w:tc>
        <w:tc>
          <w:tcPr>
            <w:vMerge w:val="continue"/>
          </w:tcPr>
          <w:p/>
        </w:tc>
        <w:tc>
          <w:tcPr>
            <w:vMerge w:val="continue"/>
          </w:tcPr>
          <w:p/>
        </w:tc>
        <w:tc>
          <w:tcPr>
            <w:gridSpan w:val="2"/>
            <w:vMerge w:val="continue"/>
          </w:tcPr>
          <w:p/>
        </w:tc>
        <w:tc>
          <w:tcPr>
            <w:tcW w:w="850" w:type="dxa"/>
            <w:vMerge w:val="restart"/>
          </w:tcPr>
          <w:p>
            <w:pPr>
              <w:pStyle w:val="0"/>
              <w:jc w:val="center"/>
            </w:pPr>
            <w:r>
              <w:rPr>
                <w:sz w:val="24"/>
              </w:rPr>
              <w:t xml:space="preserve">план</w:t>
            </w:r>
          </w:p>
        </w:tc>
        <w:tc>
          <w:tcPr>
            <w:tcW w:w="850" w:type="dxa"/>
            <w:vMerge w:val="restart"/>
          </w:tcPr>
          <w:p>
            <w:pPr>
              <w:pStyle w:val="0"/>
              <w:jc w:val="center"/>
            </w:pPr>
            <w:r>
              <w:rPr>
                <w:sz w:val="24"/>
              </w:rPr>
              <w:t xml:space="preserve">факт</w:t>
            </w:r>
          </w:p>
        </w:tc>
        <w:tc>
          <w:tcPr>
            <w:tcW w:w="4350" w:type="dxa"/>
            <w:gridSpan w:val="4"/>
          </w:tcPr>
          <w:p>
            <w:pPr>
              <w:pStyle w:val="0"/>
              <w:jc w:val="center"/>
            </w:pPr>
            <w:r>
              <w:rPr>
                <w:sz w:val="24"/>
              </w:rPr>
              <w:t xml:space="preserve">в том числе</w:t>
            </w:r>
          </w:p>
        </w:tc>
        <w:tc>
          <w:tcPr>
            <w:vMerge w:val="continue"/>
          </w:tcPr>
          <w:p/>
        </w:tc>
        <w:tc>
          <w:tcPr>
            <w:vMerge w:val="continue"/>
          </w:tcPr>
          <w:p/>
        </w:tc>
      </w:tr>
      <w:tr>
        <w:tc>
          <w:tcPr>
            <w:vMerge w:val="continue"/>
          </w:tcPr>
          <w:p/>
        </w:tc>
        <w:tc>
          <w:tcPr>
            <w:vMerge w:val="continue"/>
          </w:tcPr>
          <w:p/>
        </w:tc>
        <w:tc>
          <w:tcPr>
            <w:vMerge w:val="continue"/>
          </w:tcPr>
          <w:p/>
        </w:tc>
        <w:tc>
          <w:tcPr>
            <w:tcW w:w="850" w:type="dxa"/>
          </w:tcPr>
          <w:p>
            <w:pPr>
              <w:pStyle w:val="0"/>
              <w:jc w:val="center"/>
            </w:pPr>
            <w:r>
              <w:rPr>
                <w:sz w:val="24"/>
              </w:rPr>
              <w:t xml:space="preserve">план</w:t>
            </w:r>
          </w:p>
        </w:tc>
        <w:tc>
          <w:tcPr>
            <w:tcW w:w="850" w:type="dxa"/>
          </w:tcPr>
          <w:p>
            <w:pPr>
              <w:pStyle w:val="0"/>
              <w:jc w:val="center"/>
            </w:pPr>
            <w:r>
              <w:rPr>
                <w:sz w:val="24"/>
              </w:rPr>
              <w:t xml:space="preserve">факт</w:t>
            </w:r>
          </w:p>
        </w:tc>
        <w:tc>
          <w:tcPr>
            <w:vMerge w:val="continue"/>
          </w:tcPr>
          <w:p/>
        </w:tc>
        <w:tc>
          <w:tcPr>
            <w:vMerge w:val="continue"/>
          </w:tcPr>
          <w:p/>
        </w:tc>
        <w:tc>
          <w:tcPr>
            <w:tcW w:w="1087" w:type="dxa"/>
          </w:tcPr>
          <w:p>
            <w:pPr>
              <w:pStyle w:val="0"/>
              <w:jc w:val="center"/>
            </w:pPr>
            <w:r>
              <w:rPr>
                <w:sz w:val="24"/>
              </w:rPr>
              <w:t xml:space="preserve">федеральный бюджет</w:t>
            </w:r>
          </w:p>
        </w:tc>
        <w:tc>
          <w:tcPr>
            <w:tcW w:w="1087" w:type="dxa"/>
          </w:tcPr>
          <w:p>
            <w:pPr>
              <w:pStyle w:val="0"/>
              <w:jc w:val="center"/>
            </w:pPr>
            <w:r>
              <w:rPr>
                <w:sz w:val="24"/>
              </w:rPr>
              <w:t xml:space="preserve">областной бюджет</w:t>
            </w:r>
          </w:p>
        </w:tc>
        <w:tc>
          <w:tcPr>
            <w:tcW w:w="1087" w:type="dxa"/>
          </w:tcPr>
          <w:p>
            <w:pPr>
              <w:pStyle w:val="0"/>
              <w:jc w:val="center"/>
            </w:pPr>
            <w:r>
              <w:rPr>
                <w:sz w:val="24"/>
              </w:rPr>
              <w:t xml:space="preserve">местные бюджеты</w:t>
            </w:r>
          </w:p>
        </w:tc>
        <w:tc>
          <w:tcPr>
            <w:tcW w:w="1089" w:type="dxa"/>
          </w:tcPr>
          <w:p>
            <w:pPr>
              <w:pStyle w:val="0"/>
              <w:jc w:val="center"/>
            </w:pPr>
            <w:r>
              <w:rPr>
                <w:sz w:val="24"/>
              </w:rPr>
              <w:t xml:space="preserve">внебюджетные источники</w:t>
            </w:r>
          </w:p>
        </w:tc>
        <w:tc>
          <w:tcPr>
            <w:vMerge w:val="continue"/>
          </w:tcPr>
          <w:p/>
        </w:tc>
        <w:tc>
          <w:tcPr>
            <w:vMerge w:val="continue"/>
          </w:tcPr>
          <w:p/>
        </w:tc>
      </w:tr>
      <w:tr>
        <w:tc>
          <w:tcPr>
            <w:tcW w:w="1417" w:type="dxa"/>
          </w:tcPr>
          <w:p>
            <w:pPr>
              <w:pStyle w:val="0"/>
              <w:jc w:val="center"/>
            </w:pPr>
            <w:r>
              <w:rPr>
                <w:sz w:val="24"/>
              </w:rPr>
              <w:t xml:space="preserve">1</w:t>
            </w:r>
          </w:p>
        </w:tc>
        <w:tc>
          <w:tcPr>
            <w:tcW w:w="680" w:type="dxa"/>
          </w:tcPr>
          <w:p>
            <w:pPr>
              <w:pStyle w:val="0"/>
              <w:jc w:val="center"/>
            </w:pPr>
            <w:r>
              <w:rPr>
                <w:sz w:val="24"/>
              </w:rPr>
              <w:t xml:space="preserve">2</w:t>
            </w:r>
          </w:p>
        </w:tc>
        <w:tc>
          <w:tcPr>
            <w:tcW w:w="1417" w:type="dxa"/>
          </w:tcPr>
          <w:p>
            <w:pPr>
              <w:pStyle w:val="0"/>
              <w:jc w:val="center"/>
            </w:pPr>
            <w:r>
              <w:rPr>
                <w:sz w:val="24"/>
              </w:rPr>
              <w:t xml:space="preserve">3</w:t>
            </w:r>
          </w:p>
        </w:tc>
        <w:tc>
          <w:tcPr>
            <w:tcW w:w="850" w:type="dxa"/>
          </w:tcPr>
          <w:p>
            <w:pPr>
              <w:pStyle w:val="0"/>
              <w:jc w:val="center"/>
            </w:pPr>
            <w:r>
              <w:rPr>
                <w:sz w:val="24"/>
              </w:rPr>
              <w:t xml:space="preserve">4</w:t>
            </w:r>
          </w:p>
        </w:tc>
        <w:tc>
          <w:tcPr>
            <w:tcW w:w="850" w:type="dxa"/>
          </w:tcPr>
          <w:p>
            <w:pPr>
              <w:pStyle w:val="0"/>
              <w:jc w:val="center"/>
            </w:pPr>
            <w:r>
              <w:rPr>
                <w:sz w:val="24"/>
              </w:rPr>
              <w:t xml:space="preserve">5</w:t>
            </w:r>
          </w:p>
        </w:tc>
        <w:tc>
          <w:tcPr>
            <w:tcW w:w="850" w:type="dxa"/>
          </w:tcPr>
          <w:p>
            <w:pPr>
              <w:pStyle w:val="0"/>
              <w:jc w:val="center"/>
            </w:pPr>
            <w:r>
              <w:rPr>
                <w:sz w:val="24"/>
              </w:rPr>
              <w:t xml:space="preserve">6</w:t>
            </w:r>
          </w:p>
        </w:tc>
        <w:tc>
          <w:tcPr>
            <w:tcW w:w="850" w:type="dxa"/>
          </w:tcPr>
          <w:p>
            <w:pPr>
              <w:pStyle w:val="0"/>
              <w:jc w:val="center"/>
            </w:pPr>
            <w:r>
              <w:rPr>
                <w:sz w:val="24"/>
              </w:rPr>
              <w:t xml:space="preserve">7</w:t>
            </w:r>
          </w:p>
        </w:tc>
        <w:tc>
          <w:tcPr>
            <w:tcW w:w="1087" w:type="dxa"/>
          </w:tcPr>
          <w:p>
            <w:pPr>
              <w:pStyle w:val="0"/>
              <w:jc w:val="center"/>
            </w:pPr>
            <w:r>
              <w:rPr>
                <w:sz w:val="24"/>
              </w:rPr>
              <w:t xml:space="preserve">8</w:t>
            </w:r>
          </w:p>
        </w:tc>
        <w:tc>
          <w:tcPr>
            <w:tcW w:w="1087" w:type="dxa"/>
          </w:tcPr>
          <w:p>
            <w:pPr>
              <w:pStyle w:val="0"/>
              <w:jc w:val="center"/>
            </w:pPr>
            <w:r>
              <w:rPr>
                <w:sz w:val="24"/>
              </w:rPr>
              <w:t xml:space="preserve">9</w:t>
            </w:r>
          </w:p>
        </w:tc>
        <w:tc>
          <w:tcPr>
            <w:tcW w:w="1087" w:type="dxa"/>
          </w:tcPr>
          <w:p>
            <w:pPr>
              <w:pStyle w:val="0"/>
              <w:jc w:val="center"/>
            </w:pPr>
            <w:r>
              <w:rPr>
                <w:sz w:val="24"/>
              </w:rPr>
              <w:t xml:space="preserve">10</w:t>
            </w:r>
          </w:p>
        </w:tc>
        <w:tc>
          <w:tcPr>
            <w:tcW w:w="1089" w:type="dxa"/>
          </w:tcPr>
          <w:p>
            <w:pPr>
              <w:pStyle w:val="0"/>
              <w:jc w:val="center"/>
            </w:pPr>
            <w:r>
              <w:rPr>
                <w:sz w:val="24"/>
              </w:rPr>
              <w:t xml:space="preserve">11</w:t>
            </w:r>
          </w:p>
        </w:tc>
        <w:tc>
          <w:tcPr>
            <w:tcW w:w="1474" w:type="dxa"/>
          </w:tcPr>
          <w:p>
            <w:pPr>
              <w:pStyle w:val="0"/>
              <w:jc w:val="center"/>
            </w:pPr>
            <w:r>
              <w:rPr>
                <w:sz w:val="24"/>
              </w:rPr>
              <w:t xml:space="preserve">12</w:t>
            </w:r>
          </w:p>
        </w:tc>
        <w:tc>
          <w:tcPr>
            <w:tcW w:w="827" w:type="dxa"/>
          </w:tcPr>
          <w:p>
            <w:pPr>
              <w:pStyle w:val="0"/>
              <w:jc w:val="center"/>
            </w:pPr>
            <w:r>
              <w:rPr>
                <w:sz w:val="24"/>
              </w:rPr>
              <w:t xml:space="preserve">13</w:t>
            </w:r>
          </w:p>
        </w:tc>
      </w:tr>
      <w:tr>
        <w:tc>
          <w:tcPr>
            <w:tcW w:w="1417" w:type="dxa"/>
          </w:tcPr>
          <w:p>
            <w:pPr>
              <w:pStyle w:val="0"/>
            </w:pPr>
            <w:r>
              <w:rPr>
                <w:sz w:val="24"/>
              </w:rPr>
              <w:t xml:space="preserve">1. Целевой показатель</w:t>
            </w:r>
          </w:p>
        </w:tc>
        <w:tc>
          <w:tcPr>
            <w:tcW w:w="680" w:type="dxa"/>
          </w:tcPr>
          <w:p>
            <w:pPr>
              <w:pStyle w:val="0"/>
            </w:pPr>
            <w:r>
              <w:rPr>
                <w:sz w:val="24"/>
              </w:rPr>
            </w:r>
          </w:p>
        </w:tc>
        <w:tc>
          <w:tcPr>
            <w:tcW w:w="1417"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87" w:type="dxa"/>
          </w:tcPr>
          <w:p>
            <w:pPr>
              <w:pStyle w:val="0"/>
            </w:pPr>
            <w:r>
              <w:rPr>
                <w:sz w:val="24"/>
              </w:rPr>
            </w:r>
          </w:p>
        </w:tc>
        <w:tc>
          <w:tcPr>
            <w:tcW w:w="1087" w:type="dxa"/>
          </w:tcPr>
          <w:p>
            <w:pPr>
              <w:pStyle w:val="0"/>
            </w:pPr>
            <w:r>
              <w:rPr>
                <w:sz w:val="24"/>
              </w:rPr>
            </w:r>
          </w:p>
        </w:tc>
        <w:tc>
          <w:tcPr>
            <w:tcW w:w="1087" w:type="dxa"/>
          </w:tcPr>
          <w:p>
            <w:pPr>
              <w:pStyle w:val="0"/>
            </w:pPr>
            <w:r>
              <w:rPr>
                <w:sz w:val="24"/>
              </w:rPr>
            </w:r>
          </w:p>
        </w:tc>
        <w:tc>
          <w:tcPr>
            <w:tcW w:w="1089" w:type="dxa"/>
          </w:tcPr>
          <w:p>
            <w:pPr>
              <w:pStyle w:val="0"/>
            </w:pPr>
            <w:r>
              <w:rPr>
                <w:sz w:val="24"/>
              </w:rPr>
            </w:r>
          </w:p>
        </w:tc>
        <w:tc>
          <w:tcPr>
            <w:tcW w:w="1474" w:type="dxa"/>
          </w:tcPr>
          <w:p>
            <w:pPr>
              <w:pStyle w:val="0"/>
            </w:pPr>
            <w:r>
              <w:rPr>
                <w:sz w:val="24"/>
              </w:rPr>
            </w:r>
          </w:p>
        </w:tc>
        <w:tc>
          <w:tcPr>
            <w:tcW w:w="827" w:type="dxa"/>
          </w:tcPr>
          <w:p>
            <w:pPr>
              <w:pStyle w:val="0"/>
            </w:pPr>
            <w:r>
              <w:rPr>
                <w:sz w:val="24"/>
              </w:rPr>
            </w:r>
          </w:p>
        </w:tc>
      </w:tr>
      <w:tr>
        <w:tc>
          <w:tcPr>
            <w:tcW w:w="1417" w:type="dxa"/>
          </w:tcPr>
          <w:p>
            <w:pPr>
              <w:pStyle w:val="0"/>
            </w:pPr>
            <w:r>
              <w:rPr>
                <w:sz w:val="24"/>
              </w:rPr>
              <w:t xml:space="preserve">...</w:t>
            </w:r>
          </w:p>
        </w:tc>
        <w:tc>
          <w:tcPr>
            <w:tcW w:w="680" w:type="dxa"/>
          </w:tcPr>
          <w:p>
            <w:pPr>
              <w:pStyle w:val="0"/>
            </w:pPr>
            <w:r>
              <w:rPr>
                <w:sz w:val="24"/>
              </w:rPr>
            </w:r>
          </w:p>
        </w:tc>
        <w:tc>
          <w:tcPr>
            <w:tcW w:w="1417"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87" w:type="dxa"/>
          </w:tcPr>
          <w:p>
            <w:pPr>
              <w:pStyle w:val="0"/>
            </w:pPr>
            <w:r>
              <w:rPr>
                <w:sz w:val="24"/>
              </w:rPr>
            </w:r>
          </w:p>
        </w:tc>
        <w:tc>
          <w:tcPr>
            <w:tcW w:w="1087" w:type="dxa"/>
          </w:tcPr>
          <w:p>
            <w:pPr>
              <w:pStyle w:val="0"/>
            </w:pPr>
            <w:r>
              <w:rPr>
                <w:sz w:val="24"/>
              </w:rPr>
            </w:r>
          </w:p>
        </w:tc>
        <w:tc>
          <w:tcPr>
            <w:tcW w:w="1087" w:type="dxa"/>
          </w:tcPr>
          <w:p>
            <w:pPr>
              <w:pStyle w:val="0"/>
            </w:pPr>
            <w:r>
              <w:rPr>
                <w:sz w:val="24"/>
              </w:rPr>
            </w:r>
          </w:p>
        </w:tc>
        <w:tc>
          <w:tcPr>
            <w:tcW w:w="1089" w:type="dxa"/>
          </w:tcPr>
          <w:p>
            <w:pPr>
              <w:pStyle w:val="0"/>
            </w:pPr>
            <w:r>
              <w:rPr>
                <w:sz w:val="24"/>
              </w:rPr>
            </w:r>
          </w:p>
        </w:tc>
        <w:tc>
          <w:tcPr>
            <w:tcW w:w="1474" w:type="dxa"/>
          </w:tcPr>
          <w:p>
            <w:pPr>
              <w:pStyle w:val="0"/>
            </w:pPr>
            <w:r>
              <w:rPr>
                <w:sz w:val="24"/>
              </w:rPr>
            </w:r>
          </w:p>
        </w:tc>
        <w:tc>
          <w:tcPr>
            <w:tcW w:w="827" w:type="dxa"/>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2"/>
      </w:pPr>
      <w:r>
        <w:rPr>
          <w:sz w:val="24"/>
        </w:rPr>
        <w:t xml:space="preserve">Форма 4.2</w:t>
      </w:r>
    </w:p>
    <w:p>
      <w:pPr>
        <w:pStyle w:val="0"/>
        <w:ind w:firstLine="540"/>
        <w:jc w:val="both"/>
      </w:pPr>
      <w:r>
        <w:rPr>
          <w:sz w:val="24"/>
        </w:rPr>
      </w:r>
    </w:p>
    <w:bookmarkStart w:id="1199" w:name="P1199"/>
    <w:bookmarkEnd w:id="1199"/>
    <w:p>
      <w:pPr>
        <w:pStyle w:val="0"/>
        <w:jc w:val="center"/>
      </w:pPr>
      <w:r>
        <w:rPr>
          <w:sz w:val="24"/>
        </w:rPr>
        <w:t xml:space="preserve">ОТЧЕТ</w:t>
      </w:r>
    </w:p>
    <w:p>
      <w:pPr>
        <w:pStyle w:val="0"/>
        <w:jc w:val="center"/>
      </w:pPr>
      <w:r>
        <w:rPr>
          <w:sz w:val="24"/>
        </w:rPr>
        <w:t xml:space="preserve">О РЕАЛИЗАЦИИ ПЛАНА МЕРОПРИЯТИЙ</w:t>
      </w:r>
    </w:p>
    <w:p>
      <w:pPr>
        <w:pStyle w:val="0"/>
        <w:jc w:val="center"/>
      </w:pPr>
      <w:r>
        <w:rPr>
          <w:sz w:val="24"/>
        </w:rPr>
        <w:t xml:space="preserve">региональной программы Новосибирской области "Снижение</w:t>
      </w:r>
    </w:p>
    <w:p>
      <w:pPr>
        <w:pStyle w:val="0"/>
        <w:jc w:val="center"/>
      </w:pPr>
      <w:r>
        <w:rPr>
          <w:sz w:val="24"/>
        </w:rPr>
        <w:t xml:space="preserve">доли населения с доходами ниже границы бедности</w:t>
      </w:r>
    </w:p>
    <w:p>
      <w:pPr>
        <w:pStyle w:val="0"/>
        <w:jc w:val="center"/>
      </w:pPr>
      <w:r>
        <w:rPr>
          <w:sz w:val="24"/>
        </w:rPr>
        <w:t xml:space="preserve">в Новосибирской области на период до 2030 года"</w:t>
      </w:r>
    </w:p>
    <w:p>
      <w:pPr>
        <w:pStyle w:val="0"/>
        <w:ind w:firstLine="540"/>
        <w:jc w:val="both"/>
      </w:pPr>
      <w:r>
        <w:rPr>
          <w:sz w:val="24"/>
        </w:rPr>
      </w:r>
    </w:p>
    <w:p>
      <w:pPr>
        <w:pStyle w:val="0"/>
        <w:jc w:val="center"/>
      </w:pPr>
      <w:r>
        <w:rPr>
          <w:sz w:val="24"/>
        </w:rPr>
        <w:t xml:space="preserve">Отчетный период ___________________ (квартал) _______ (год)</w:t>
      </w:r>
    </w:p>
    <w:p>
      <w:pPr>
        <w:pStyle w:val="0"/>
        <w:ind w:firstLine="54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1696"/>
        <w:gridCol w:w="1418"/>
        <w:gridCol w:w="991"/>
        <w:gridCol w:w="991"/>
        <w:gridCol w:w="850"/>
        <w:gridCol w:w="850"/>
        <w:gridCol w:w="850"/>
        <w:gridCol w:w="851"/>
        <w:gridCol w:w="849"/>
        <w:gridCol w:w="849"/>
        <w:gridCol w:w="849"/>
        <w:gridCol w:w="851"/>
        <w:gridCol w:w="1701"/>
      </w:tblGrid>
      <w:tr>
        <w:tc>
          <w:tcPr>
            <w:tcW w:w="1696" w:type="dxa"/>
            <w:vMerge w:val="restart"/>
          </w:tcPr>
          <w:p>
            <w:pPr>
              <w:pStyle w:val="0"/>
              <w:jc w:val="center"/>
            </w:pPr>
            <w:r>
              <w:rPr>
                <w:sz w:val="24"/>
              </w:rPr>
              <w:t xml:space="preserve">Наименование задач и мероприятий</w:t>
            </w:r>
          </w:p>
        </w:tc>
        <w:tc>
          <w:tcPr>
            <w:tcW w:w="1418" w:type="dxa"/>
            <w:vMerge w:val="restart"/>
          </w:tcPr>
          <w:p>
            <w:pPr>
              <w:pStyle w:val="0"/>
              <w:jc w:val="center"/>
            </w:pPr>
            <w:r>
              <w:rPr>
                <w:sz w:val="24"/>
              </w:rPr>
              <w:t xml:space="preserve">Исполнители мероприятий</w:t>
            </w:r>
          </w:p>
        </w:tc>
        <w:tc>
          <w:tcPr>
            <w:tcW w:w="1982" w:type="dxa"/>
            <w:gridSpan w:val="2"/>
          </w:tcPr>
          <w:p>
            <w:pPr>
              <w:pStyle w:val="0"/>
              <w:jc w:val="center"/>
            </w:pPr>
            <w:r>
              <w:rPr>
                <w:sz w:val="24"/>
              </w:rPr>
              <w:t xml:space="preserve">Дата окончания реализации мероприятия</w:t>
            </w:r>
          </w:p>
        </w:tc>
        <w:tc>
          <w:tcPr>
            <w:tcW w:w="1700" w:type="dxa"/>
            <w:gridSpan w:val="2"/>
          </w:tcPr>
          <w:p>
            <w:pPr>
              <w:pStyle w:val="0"/>
              <w:jc w:val="center"/>
            </w:pPr>
            <w:r>
              <w:rPr>
                <w:sz w:val="24"/>
              </w:rPr>
              <w:t xml:space="preserve">Результат реализации мероприятия на конец отчетного периода &lt;***&gt;</w:t>
            </w:r>
          </w:p>
        </w:tc>
        <w:tc>
          <w:tcPr>
            <w:tcW w:w="5099" w:type="dxa"/>
            <w:gridSpan w:val="6"/>
          </w:tcPr>
          <w:p>
            <w:pPr>
              <w:pStyle w:val="0"/>
              <w:jc w:val="center"/>
            </w:pPr>
            <w:r>
              <w:rPr>
                <w:sz w:val="24"/>
              </w:rPr>
              <w:t xml:space="preserve">Расходы на реализацию мероприятия, тыс. рублей</w:t>
            </w:r>
          </w:p>
        </w:tc>
        <w:tc>
          <w:tcPr>
            <w:tcW w:w="1701" w:type="dxa"/>
            <w:vMerge w:val="restart"/>
          </w:tcPr>
          <w:p>
            <w:pPr>
              <w:pStyle w:val="0"/>
              <w:jc w:val="center"/>
            </w:pPr>
            <w:r>
              <w:rPr>
                <w:sz w:val="24"/>
              </w:rPr>
              <w:t xml:space="preserve">Причины отклонений фактического значения результата реализации мероприятия от планового, на конец отчетного периода</w:t>
            </w:r>
          </w:p>
        </w:tc>
      </w:tr>
      <w:tr>
        <w:tc>
          <w:tcPr>
            <w:vMerge w:val="continue"/>
          </w:tcPr>
          <w:p/>
        </w:tc>
        <w:tc>
          <w:tcPr>
            <w:vMerge w:val="continue"/>
          </w:tcPr>
          <w:p/>
        </w:tc>
        <w:tc>
          <w:tcPr>
            <w:tcW w:w="991" w:type="dxa"/>
            <w:vMerge w:val="restart"/>
          </w:tcPr>
          <w:p>
            <w:pPr>
              <w:pStyle w:val="0"/>
              <w:jc w:val="center"/>
            </w:pPr>
            <w:r>
              <w:rPr>
                <w:sz w:val="24"/>
              </w:rPr>
              <w:t xml:space="preserve">плановая &lt;*&gt;</w:t>
            </w:r>
          </w:p>
        </w:tc>
        <w:tc>
          <w:tcPr>
            <w:tcW w:w="991" w:type="dxa"/>
            <w:vMerge w:val="restart"/>
          </w:tcPr>
          <w:p>
            <w:pPr>
              <w:pStyle w:val="0"/>
              <w:jc w:val="center"/>
            </w:pPr>
            <w:r>
              <w:rPr>
                <w:sz w:val="24"/>
              </w:rPr>
              <w:t xml:space="preserve">фактическая &lt;**&gt;</w:t>
            </w:r>
          </w:p>
        </w:tc>
        <w:tc>
          <w:tcPr>
            <w:tcW w:w="850" w:type="dxa"/>
            <w:vMerge w:val="restart"/>
          </w:tcPr>
          <w:p>
            <w:pPr>
              <w:pStyle w:val="0"/>
              <w:jc w:val="center"/>
            </w:pPr>
            <w:r>
              <w:rPr>
                <w:sz w:val="24"/>
              </w:rPr>
              <w:t xml:space="preserve">план</w:t>
            </w:r>
          </w:p>
        </w:tc>
        <w:tc>
          <w:tcPr>
            <w:tcW w:w="850" w:type="dxa"/>
            <w:vMerge w:val="restart"/>
          </w:tcPr>
          <w:p>
            <w:pPr>
              <w:pStyle w:val="0"/>
              <w:jc w:val="center"/>
            </w:pPr>
            <w:r>
              <w:rPr>
                <w:sz w:val="24"/>
              </w:rPr>
              <w:t xml:space="preserve">факт</w:t>
            </w:r>
          </w:p>
        </w:tc>
        <w:tc>
          <w:tcPr>
            <w:tcW w:w="850" w:type="dxa"/>
            <w:vMerge w:val="restart"/>
          </w:tcPr>
          <w:p>
            <w:pPr>
              <w:pStyle w:val="0"/>
              <w:jc w:val="center"/>
            </w:pPr>
            <w:r>
              <w:rPr>
                <w:sz w:val="24"/>
              </w:rPr>
              <w:t xml:space="preserve">план</w:t>
            </w:r>
          </w:p>
        </w:tc>
        <w:tc>
          <w:tcPr>
            <w:tcW w:w="851" w:type="dxa"/>
            <w:vMerge w:val="restart"/>
          </w:tcPr>
          <w:p>
            <w:pPr>
              <w:pStyle w:val="0"/>
              <w:jc w:val="center"/>
            </w:pPr>
            <w:r>
              <w:rPr>
                <w:sz w:val="24"/>
              </w:rPr>
              <w:t xml:space="preserve">факт</w:t>
            </w:r>
          </w:p>
        </w:tc>
        <w:tc>
          <w:tcPr>
            <w:tcW w:w="3398" w:type="dxa"/>
            <w:gridSpan w:val="4"/>
          </w:tcPr>
          <w:p>
            <w:pPr>
              <w:pStyle w:val="0"/>
              <w:jc w:val="center"/>
            </w:pPr>
            <w:r>
              <w:rPr>
                <w:sz w:val="24"/>
              </w:rPr>
              <w:t xml:space="preserve">в том числе</w:t>
            </w: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849" w:type="dxa"/>
          </w:tcPr>
          <w:p>
            <w:pPr>
              <w:pStyle w:val="0"/>
              <w:jc w:val="center"/>
            </w:pPr>
            <w:r>
              <w:rPr>
                <w:sz w:val="24"/>
              </w:rPr>
              <w:t xml:space="preserve">федеральный бюджет</w:t>
            </w:r>
          </w:p>
        </w:tc>
        <w:tc>
          <w:tcPr>
            <w:tcW w:w="849" w:type="dxa"/>
          </w:tcPr>
          <w:p>
            <w:pPr>
              <w:pStyle w:val="0"/>
              <w:jc w:val="center"/>
            </w:pPr>
            <w:r>
              <w:rPr>
                <w:sz w:val="24"/>
              </w:rPr>
              <w:t xml:space="preserve">областной бюджет</w:t>
            </w:r>
          </w:p>
        </w:tc>
        <w:tc>
          <w:tcPr>
            <w:tcW w:w="849" w:type="dxa"/>
          </w:tcPr>
          <w:p>
            <w:pPr>
              <w:pStyle w:val="0"/>
              <w:jc w:val="center"/>
            </w:pPr>
            <w:r>
              <w:rPr>
                <w:sz w:val="24"/>
              </w:rPr>
              <w:t xml:space="preserve">местные бюджеты</w:t>
            </w:r>
          </w:p>
        </w:tc>
        <w:tc>
          <w:tcPr>
            <w:tcW w:w="851" w:type="dxa"/>
          </w:tcPr>
          <w:p>
            <w:pPr>
              <w:pStyle w:val="0"/>
              <w:jc w:val="center"/>
            </w:pPr>
            <w:r>
              <w:rPr>
                <w:sz w:val="24"/>
              </w:rPr>
              <w:t xml:space="preserve">внебюджетные источники</w:t>
            </w:r>
          </w:p>
        </w:tc>
        <w:tc>
          <w:tcPr>
            <w:vMerge w:val="continue"/>
          </w:tcPr>
          <w:p/>
        </w:tc>
      </w:tr>
      <w:tr>
        <w:tc>
          <w:tcPr>
            <w:tcW w:w="1696" w:type="dxa"/>
          </w:tcPr>
          <w:p>
            <w:pPr>
              <w:pStyle w:val="0"/>
              <w:jc w:val="center"/>
            </w:pPr>
            <w:r>
              <w:rPr>
                <w:sz w:val="24"/>
              </w:rPr>
              <w:t xml:space="preserve">1</w:t>
            </w:r>
          </w:p>
        </w:tc>
        <w:tc>
          <w:tcPr>
            <w:tcW w:w="1418" w:type="dxa"/>
          </w:tcPr>
          <w:p>
            <w:pPr>
              <w:pStyle w:val="0"/>
              <w:jc w:val="center"/>
            </w:pPr>
            <w:r>
              <w:rPr>
                <w:sz w:val="24"/>
              </w:rPr>
              <w:t xml:space="preserve">2</w:t>
            </w:r>
          </w:p>
        </w:tc>
        <w:tc>
          <w:tcPr>
            <w:tcW w:w="991" w:type="dxa"/>
          </w:tcPr>
          <w:p>
            <w:pPr>
              <w:pStyle w:val="0"/>
              <w:jc w:val="center"/>
            </w:pPr>
            <w:r>
              <w:rPr>
                <w:sz w:val="24"/>
              </w:rPr>
              <w:t xml:space="preserve">3</w:t>
            </w:r>
          </w:p>
        </w:tc>
        <w:tc>
          <w:tcPr>
            <w:tcW w:w="991" w:type="dxa"/>
          </w:tcPr>
          <w:p>
            <w:pPr>
              <w:pStyle w:val="0"/>
              <w:jc w:val="center"/>
            </w:pPr>
            <w:r>
              <w:rPr>
                <w:sz w:val="24"/>
              </w:rPr>
              <w:t xml:space="preserve">4</w:t>
            </w:r>
          </w:p>
        </w:tc>
        <w:tc>
          <w:tcPr>
            <w:tcW w:w="850" w:type="dxa"/>
          </w:tcPr>
          <w:p>
            <w:pPr>
              <w:pStyle w:val="0"/>
              <w:jc w:val="center"/>
            </w:pPr>
            <w:r>
              <w:rPr>
                <w:sz w:val="24"/>
              </w:rPr>
              <w:t xml:space="preserve">5</w:t>
            </w:r>
          </w:p>
        </w:tc>
        <w:tc>
          <w:tcPr>
            <w:tcW w:w="850" w:type="dxa"/>
          </w:tcPr>
          <w:p>
            <w:pPr>
              <w:pStyle w:val="0"/>
              <w:jc w:val="center"/>
            </w:pPr>
            <w:r>
              <w:rPr>
                <w:sz w:val="24"/>
              </w:rPr>
              <w:t xml:space="preserve">6</w:t>
            </w:r>
          </w:p>
        </w:tc>
        <w:tc>
          <w:tcPr>
            <w:tcW w:w="850" w:type="dxa"/>
          </w:tcPr>
          <w:p>
            <w:pPr>
              <w:pStyle w:val="0"/>
              <w:jc w:val="center"/>
            </w:pPr>
            <w:r>
              <w:rPr>
                <w:sz w:val="24"/>
              </w:rPr>
              <w:t xml:space="preserve">7</w:t>
            </w:r>
          </w:p>
        </w:tc>
        <w:tc>
          <w:tcPr>
            <w:tcW w:w="851" w:type="dxa"/>
          </w:tcPr>
          <w:p>
            <w:pPr>
              <w:pStyle w:val="0"/>
              <w:jc w:val="center"/>
            </w:pPr>
            <w:r>
              <w:rPr>
                <w:sz w:val="24"/>
              </w:rPr>
              <w:t xml:space="preserve">8</w:t>
            </w:r>
          </w:p>
        </w:tc>
        <w:tc>
          <w:tcPr>
            <w:tcW w:w="849" w:type="dxa"/>
          </w:tcPr>
          <w:p>
            <w:pPr>
              <w:pStyle w:val="0"/>
              <w:jc w:val="center"/>
            </w:pPr>
            <w:r>
              <w:rPr>
                <w:sz w:val="24"/>
              </w:rPr>
              <w:t xml:space="preserve">9</w:t>
            </w:r>
          </w:p>
        </w:tc>
        <w:tc>
          <w:tcPr>
            <w:tcW w:w="849" w:type="dxa"/>
          </w:tcPr>
          <w:p>
            <w:pPr>
              <w:pStyle w:val="0"/>
              <w:jc w:val="center"/>
            </w:pPr>
            <w:r>
              <w:rPr>
                <w:sz w:val="24"/>
              </w:rPr>
              <w:t xml:space="preserve">10</w:t>
            </w:r>
          </w:p>
        </w:tc>
        <w:tc>
          <w:tcPr>
            <w:tcW w:w="849" w:type="dxa"/>
          </w:tcPr>
          <w:p>
            <w:pPr>
              <w:pStyle w:val="0"/>
              <w:jc w:val="center"/>
            </w:pPr>
            <w:r>
              <w:rPr>
                <w:sz w:val="24"/>
              </w:rPr>
              <w:t xml:space="preserve">11</w:t>
            </w:r>
          </w:p>
        </w:tc>
        <w:tc>
          <w:tcPr>
            <w:tcW w:w="851" w:type="dxa"/>
          </w:tcPr>
          <w:p>
            <w:pPr>
              <w:pStyle w:val="0"/>
              <w:jc w:val="center"/>
            </w:pPr>
            <w:r>
              <w:rPr>
                <w:sz w:val="24"/>
              </w:rPr>
              <w:t xml:space="preserve">12</w:t>
            </w:r>
          </w:p>
        </w:tc>
        <w:tc>
          <w:tcPr>
            <w:tcW w:w="1701" w:type="dxa"/>
          </w:tcPr>
          <w:p>
            <w:pPr>
              <w:pStyle w:val="0"/>
              <w:jc w:val="center"/>
            </w:pPr>
            <w:r>
              <w:rPr>
                <w:sz w:val="24"/>
              </w:rPr>
              <w:t xml:space="preserve">13</w:t>
            </w:r>
          </w:p>
        </w:tc>
      </w:tr>
      <w:tr>
        <w:tc>
          <w:tcPr>
            <w:tcW w:w="1696" w:type="dxa"/>
          </w:tcPr>
          <w:p>
            <w:pPr>
              <w:pStyle w:val="0"/>
            </w:pPr>
            <w:r>
              <w:rPr>
                <w:sz w:val="24"/>
              </w:rPr>
              <w:t xml:space="preserve">Задача 1</w:t>
            </w:r>
          </w:p>
        </w:tc>
        <w:tc>
          <w:tcPr>
            <w:tcW w:w="1418" w:type="dxa"/>
          </w:tcPr>
          <w:p>
            <w:pPr>
              <w:pStyle w:val="0"/>
            </w:pPr>
            <w:r>
              <w:rPr>
                <w:sz w:val="24"/>
              </w:rPr>
            </w:r>
          </w:p>
        </w:tc>
        <w:tc>
          <w:tcPr>
            <w:tcW w:w="991" w:type="dxa"/>
          </w:tcPr>
          <w:p>
            <w:pPr>
              <w:pStyle w:val="0"/>
            </w:pPr>
            <w:r>
              <w:rPr>
                <w:sz w:val="24"/>
              </w:rPr>
            </w:r>
          </w:p>
        </w:tc>
        <w:tc>
          <w:tcPr>
            <w:tcW w:w="991"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851"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51" w:type="dxa"/>
          </w:tcPr>
          <w:p>
            <w:pPr>
              <w:pStyle w:val="0"/>
            </w:pPr>
            <w:r>
              <w:rPr>
                <w:sz w:val="24"/>
              </w:rPr>
            </w:r>
          </w:p>
        </w:tc>
        <w:tc>
          <w:tcPr>
            <w:tcW w:w="1701" w:type="dxa"/>
          </w:tcPr>
          <w:p>
            <w:pPr>
              <w:pStyle w:val="0"/>
            </w:pPr>
            <w:r>
              <w:rPr>
                <w:sz w:val="24"/>
              </w:rPr>
            </w:r>
          </w:p>
        </w:tc>
      </w:tr>
      <w:tr>
        <w:tc>
          <w:tcPr>
            <w:tcW w:w="1696" w:type="dxa"/>
          </w:tcPr>
          <w:p>
            <w:pPr>
              <w:pStyle w:val="0"/>
            </w:pPr>
            <w:r>
              <w:rPr>
                <w:sz w:val="24"/>
              </w:rPr>
              <w:t xml:space="preserve">1.1. Мероприятие</w:t>
            </w:r>
          </w:p>
        </w:tc>
        <w:tc>
          <w:tcPr>
            <w:tcW w:w="1418" w:type="dxa"/>
          </w:tcPr>
          <w:p>
            <w:pPr>
              <w:pStyle w:val="0"/>
            </w:pPr>
            <w:r>
              <w:rPr>
                <w:sz w:val="24"/>
              </w:rPr>
            </w:r>
          </w:p>
        </w:tc>
        <w:tc>
          <w:tcPr>
            <w:tcW w:w="991" w:type="dxa"/>
          </w:tcPr>
          <w:p>
            <w:pPr>
              <w:pStyle w:val="0"/>
            </w:pPr>
            <w:r>
              <w:rPr>
                <w:sz w:val="24"/>
              </w:rPr>
            </w:r>
          </w:p>
        </w:tc>
        <w:tc>
          <w:tcPr>
            <w:tcW w:w="991"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851"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51" w:type="dxa"/>
          </w:tcPr>
          <w:p>
            <w:pPr>
              <w:pStyle w:val="0"/>
            </w:pPr>
            <w:r>
              <w:rPr>
                <w:sz w:val="24"/>
              </w:rPr>
            </w:r>
          </w:p>
        </w:tc>
        <w:tc>
          <w:tcPr>
            <w:tcW w:w="1701" w:type="dxa"/>
          </w:tcPr>
          <w:p>
            <w:pPr>
              <w:pStyle w:val="0"/>
            </w:pPr>
            <w:r>
              <w:rPr>
                <w:sz w:val="24"/>
              </w:rPr>
            </w:r>
          </w:p>
        </w:tc>
      </w:tr>
      <w:tr>
        <w:tc>
          <w:tcPr>
            <w:tcW w:w="1696" w:type="dxa"/>
          </w:tcPr>
          <w:p>
            <w:pPr>
              <w:pStyle w:val="0"/>
            </w:pPr>
            <w:r>
              <w:rPr>
                <w:sz w:val="24"/>
              </w:rPr>
              <w:t xml:space="preserve">...</w:t>
            </w:r>
          </w:p>
        </w:tc>
        <w:tc>
          <w:tcPr>
            <w:tcW w:w="1418" w:type="dxa"/>
          </w:tcPr>
          <w:p>
            <w:pPr>
              <w:pStyle w:val="0"/>
            </w:pPr>
            <w:r>
              <w:rPr>
                <w:sz w:val="24"/>
              </w:rPr>
            </w:r>
          </w:p>
        </w:tc>
        <w:tc>
          <w:tcPr>
            <w:tcW w:w="991" w:type="dxa"/>
          </w:tcPr>
          <w:p>
            <w:pPr>
              <w:pStyle w:val="0"/>
            </w:pPr>
            <w:r>
              <w:rPr>
                <w:sz w:val="24"/>
              </w:rPr>
            </w:r>
          </w:p>
        </w:tc>
        <w:tc>
          <w:tcPr>
            <w:tcW w:w="991"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851"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51" w:type="dxa"/>
          </w:tcPr>
          <w:p>
            <w:pPr>
              <w:pStyle w:val="0"/>
            </w:pPr>
            <w:r>
              <w:rPr>
                <w:sz w:val="24"/>
              </w:rPr>
            </w:r>
          </w:p>
        </w:tc>
        <w:tc>
          <w:tcPr>
            <w:tcW w:w="1701" w:type="dxa"/>
          </w:tcPr>
          <w:p>
            <w:pPr>
              <w:pStyle w:val="0"/>
            </w:pPr>
            <w:r>
              <w:rPr>
                <w:sz w:val="24"/>
              </w:rPr>
            </w:r>
          </w:p>
        </w:tc>
      </w:tr>
    </w:tbl>
    <w:p>
      <w:pPr>
        <w:pStyle w:val="0"/>
        <w:ind w:firstLine="540"/>
        <w:jc w:val="both"/>
      </w:pPr>
      <w:r>
        <w:rPr>
          <w:sz w:val="24"/>
        </w:rPr>
      </w:r>
    </w:p>
    <w:p>
      <w:pPr>
        <w:pStyle w:val="0"/>
        <w:ind w:firstLine="540"/>
        <w:jc w:val="both"/>
      </w:pPr>
      <w:r>
        <w:rPr>
          <w:sz w:val="24"/>
        </w:rPr>
        <w:t xml:space="preserve">--------------------------------</w:t>
      </w:r>
    </w:p>
    <w:p>
      <w:pPr>
        <w:pStyle w:val="0"/>
        <w:spacing w:before="240"/>
        <w:ind w:firstLine="540"/>
        <w:jc w:val="both"/>
      </w:pPr>
      <w:r>
        <w:rPr>
          <w:sz w:val="24"/>
        </w:rPr>
        <w:t xml:space="preserve">&lt;*&gt; Плановая дата окончания реализации мероприятия соответствует концу года реализации мероприятия (например: срок реализации мероприятия 2021 - 2030 годы - плановая дата окончания реализации мероприятия 31.12.2030).</w:t>
      </w:r>
    </w:p>
    <w:p>
      <w:pPr>
        <w:pStyle w:val="0"/>
        <w:spacing w:before="240"/>
        <w:ind w:firstLine="540"/>
        <w:jc w:val="both"/>
      </w:pPr>
      <w:r>
        <w:rPr>
          <w:sz w:val="24"/>
        </w:rPr>
        <w:t xml:space="preserve">&lt;**&gt; Фактическая дата окончания реализации мероприятия соответствует концу отчетного периода (например: 1 кв. 2021 года - 31.03.2021, 2 кв. 2021 года - 30.06.2021, 3 кв. 2021 - 30.09.2021, 4 кв. 2021 года - 31.12.2021).</w:t>
      </w:r>
    </w:p>
    <w:p>
      <w:pPr>
        <w:pStyle w:val="0"/>
        <w:spacing w:before="240"/>
        <w:ind w:firstLine="540"/>
        <w:jc w:val="both"/>
      </w:pPr>
      <w:r>
        <w:rPr>
          <w:sz w:val="24"/>
        </w:rPr>
        <w:t xml:space="preserve">&lt;***&gt; Результат реализации мероприятий предполагает количественные показатели на конец отчетного периода.</w:t>
      </w:r>
    </w:p>
    <w:p>
      <w:pPr>
        <w:pStyle w:val="0"/>
        <w:ind w:firstLine="540"/>
        <w:jc w:val="both"/>
      </w:pPr>
      <w:r>
        <w:rPr>
          <w:sz w:val="24"/>
        </w:rPr>
      </w:r>
    </w:p>
    <w:p>
      <w:pPr>
        <w:pStyle w:val="0"/>
        <w:ind w:firstLine="540"/>
        <w:jc w:val="both"/>
      </w:pPr>
      <w:r>
        <w:rPr>
          <w:sz w:val="24"/>
        </w:rPr>
      </w:r>
    </w:p>
    <w:p>
      <w:pPr>
        <w:pStyle w:val="0"/>
        <w:pBdr>
          <w:bottom w:val="single" w:color="auto" w:sz="6" w:space="0"/>
        </w:pBdr>
        <w:spacing w:before="100" w:after="100"/>
        <w:jc w:val="both"/>
        <w:rPr>
          <w:sz w:val="2"/>
          <w:szCs w:val="2"/>
        </w:rPr>
      </w:pPr>
    </w:p>
    <w:sectPr>
      <w:headerReference w:type="default" r:id="rId16"/>
      <w:headerReference w:type="first" r:id="rId17"/>
      <w:footerReference w:type="default" r:id="rId28"/>
      <w:footerReference w:type="first" r:id="rId29"/>
      <w:pgSz w:w="16838" w:h="11906" w:orient="landscape"/>
      <w:pgMar w:top="1133" w:right="1440" w:bottom="566" w:left="1440"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170"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170"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170"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170"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170"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170"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190"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190"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190"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190"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190"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190"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Новосибирской области от 24.03.2021 N 86-п</w:t>
            <w:br/>
            <w:t xml:space="preserve">(ред. от 21.10.2024)</w:t>
            <w:br/>
            <w:t xml:space="preserve">"Об утверждении региональной...</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09.04.2026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header" Target="header10.xml" /><Relationship Id="rId16" Type="http://schemas.openxmlformats.org/officeDocument/2006/relationships/header" Target="header11.xml" /><Relationship Id="rId17" Type="http://schemas.openxmlformats.org/officeDocument/2006/relationships/header" Target="header12.xml" /><Relationship Id="rId18" Type="http://schemas.openxmlformats.org/officeDocument/2006/relationships/footer" Target="footer1.xml" /><Relationship Id="rId19" Type="http://schemas.openxmlformats.org/officeDocument/2006/relationships/footer" Target="footer2.xml" /><Relationship Id="rId20" Type="http://schemas.openxmlformats.org/officeDocument/2006/relationships/footer" Target="footer3.xml" /><Relationship Id="rId21" Type="http://schemas.openxmlformats.org/officeDocument/2006/relationships/footer" Target="footer4.xml" /><Relationship Id="rId22" Type="http://schemas.openxmlformats.org/officeDocument/2006/relationships/footer" Target="footer5.xml" /><Relationship Id="rId23" Type="http://schemas.openxmlformats.org/officeDocument/2006/relationships/footer" Target="footer6.xml" /><Relationship Id="rId24" Type="http://schemas.openxmlformats.org/officeDocument/2006/relationships/footer" Target="footer7.xml" /><Relationship Id="rId25" Type="http://schemas.openxmlformats.org/officeDocument/2006/relationships/footer" Target="footer8.xml" /><Relationship Id="rId26" Type="http://schemas.openxmlformats.org/officeDocument/2006/relationships/footer" Target="footer9.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footer" Target="footer12.xml" /><Relationship Id="rId30" Type="http://schemas.openxmlformats.org/officeDocument/2006/relationships/image" Target="media/image1.png"/><Relationship Id="rId31" Type="http://schemas.openxmlformats.org/officeDocument/2006/relationships/hyperlink" Target="https://www.consultant.ru" TargetMode="External"/><Relationship Id="rId32" Type="http://schemas.openxmlformats.org/officeDocument/2006/relationships/hyperlink" Target="https://www.consultant.ru" TargetMode="External"/><Relationship Id="rId33" Type="http://schemas.openxmlformats.org/officeDocument/2006/relationships/hyperlink" Target="https://login.consultant.ru/link/?req=doc&amp;base=RLAW049&amp;n=149778&amp;date=09.04.2026&amp;dst=100005&amp;field=134" TargetMode="External"/><Relationship Id="rId34" Type="http://schemas.openxmlformats.org/officeDocument/2006/relationships/hyperlink" Target="https://login.consultant.ru/link/?req=doc&amp;base=RLAW049&amp;n=176958&amp;date=09.04.2026&amp;dst=100005&amp;field=134" TargetMode="External"/><Relationship Id="rId35" Type="http://schemas.openxmlformats.org/officeDocument/2006/relationships/hyperlink" Target="https://login.consultant.ru/link/?req=doc&amp;base=LAW&amp;n=475991&amp;date=09.04.2026&amp;dst=100025&amp;field=134" TargetMode="External"/><Relationship Id="rId36" Type="http://schemas.openxmlformats.org/officeDocument/2006/relationships/hyperlink" Target="https://login.consultant.ru/link/?req=doc&amp;base=LAW&amp;n=449512&amp;date=09.04.2026&amp;dst=100026&amp;field=134" TargetMode="External"/><Relationship Id="rId37" Type="http://schemas.openxmlformats.org/officeDocument/2006/relationships/hyperlink" Target="https://login.consultant.ru/link/?req=doc&amp;base=RLAW049&amp;n=176958&amp;date=09.04.2026&amp;dst=100007&amp;field=134" TargetMode="External"/><Relationship Id="rId38" Type="http://schemas.openxmlformats.org/officeDocument/2006/relationships/hyperlink" Target="https://login.consultant.ru/link/?req=doc&amp;base=RLAW049&amp;n=176958&amp;date=09.04.2026&amp;dst=100006&amp;field=134" TargetMode="External"/><Relationship Id="rId39" Type="http://schemas.openxmlformats.org/officeDocument/2006/relationships/hyperlink" Target="https://login.consultant.ru/link/?req=doc&amp;base=RLAW049&amp;n=176958&amp;date=09.04.2026&amp;dst=100009&amp;field=134" TargetMode="External"/><Relationship Id="rId40" Type="http://schemas.openxmlformats.org/officeDocument/2006/relationships/hyperlink" Target="https://login.consultant.ru/link/?req=doc&amp;base=RLAW049&amp;n=176958&amp;date=09.04.2026&amp;dst=100010&amp;field=134" TargetMode="External"/><Relationship Id="rId41" Type="http://schemas.openxmlformats.org/officeDocument/2006/relationships/hyperlink" Target="https://login.consultant.ru/link/?req=doc&amp;base=LAW&amp;n=475991&amp;date=09.04.2026&amp;dst=100025&amp;field=134" TargetMode="External"/><Relationship Id="rId42" Type="http://schemas.openxmlformats.org/officeDocument/2006/relationships/hyperlink" Target="https://login.consultant.ru/link/?req=doc&amp;base=LAW&amp;n=449512&amp;date=09.04.2026&amp;dst=100026&amp;field=134" TargetMode="External"/><Relationship Id="rId43" Type="http://schemas.openxmlformats.org/officeDocument/2006/relationships/hyperlink" Target="https://login.consultant.ru/link/?req=doc&amp;base=RLAW049&amp;n=182744&amp;date=09.04.2026&amp;dst=104787&amp;field=134" TargetMode="External"/><Relationship Id="rId44" Type="http://schemas.openxmlformats.org/officeDocument/2006/relationships/hyperlink" Target="https://login.consultant.ru/link/?req=doc&amp;base=LAW&amp;n=499625&amp;date=09.04.2026&amp;dst=100012&amp;field=134" TargetMode="External"/><Relationship Id="rId45" Type="http://schemas.openxmlformats.org/officeDocument/2006/relationships/hyperlink" Target="https://login.consultant.ru/link/?req=doc&amp;base=RLAW049&amp;n=157387&amp;date=09.04.2026" TargetMode="External"/><Relationship Id="rId46" Type="http://schemas.openxmlformats.org/officeDocument/2006/relationships/hyperlink" Target="https://login.consultant.ru/link/?req=doc&amp;base=LAW&amp;n=465354&amp;date=09.04.2026" TargetMode="External"/><Relationship Id="rId47" Type="http://schemas.openxmlformats.org/officeDocument/2006/relationships/hyperlink" Target="https://mtsr.nso.ru/" TargetMode="External"/><Relationship Id="rId48" Type="http://schemas.openxmlformats.org/officeDocument/2006/relationships/hyperlink" Target="https://login.consultant.ru/link/?req=doc&amp;base=LAW&amp;n=129344&amp;date=09.04.2026" TargetMode="External"/><Relationship Id="rId49" Type="http://schemas.openxmlformats.org/officeDocument/2006/relationships/hyperlink" Target="https://login.consultant.ru/link/?req=doc&amp;base=LAW&amp;n=130516&amp;date=09.04.2026" TargetMode="External"/><Relationship Id="rId50" Type="http://schemas.openxmlformats.org/officeDocument/2006/relationships/hyperlink" Target="https://login.consultant.ru/link/?req=doc&amp;base=LAW&amp;n=282758&amp;date=09.04.2026" TargetMode="External"/><Relationship Id="rId51" Type="http://schemas.openxmlformats.org/officeDocument/2006/relationships/hyperlink" Target="https://login.consultant.ru/link/?req=doc&amp;base=RLAW049&amp;n=178476&amp;date=09.04.2026" TargetMode="External"/><Relationship Id="rId52" Type="http://schemas.openxmlformats.org/officeDocument/2006/relationships/hyperlink" Target="https://login.consultant.ru/link/?req=doc&amp;base=RLAW049&amp;n=144806&amp;date=09.04.2026"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Р7-Офис/2025.3.1.923</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Новосибирской области от 24.03.2021 N 86-п
(ред. от 21.10.2024)
"Об утверждении региональной программы Новосибирской области "Снижение доли населения с денежными доходами ниже границы бедности в Новосибирской области на период до 2030 года"</dc:title>
  <cp:lastModifiedBy>izva@NSO.LOC</cp:lastModifiedBy>
  <dcterms:created xsi:type="dcterms:W3CDTF">2026-04-09T06:31:25Z</dcterms:created>
</cp:coreProperties>
</file>