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22" w:rsidRDefault="00814022">
      <w:pPr>
        <w:pStyle w:val="ConsPlusTitlePage"/>
      </w:pPr>
      <w:bookmarkStart w:id="0" w:name="_GoBack"/>
      <w:bookmarkEnd w:id="0"/>
      <w:r>
        <w:br/>
      </w:r>
    </w:p>
    <w:p w:rsidR="00814022" w:rsidRDefault="00814022">
      <w:pPr>
        <w:pStyle w:val="ConsPlusNormal"/>
        <w:jc w:val="both"/>
        <w:outlineLvl w:val="0"/>
      </w:pPr>
    </w:p>
    <w:p w:rsidR="00814022" w:rsidRDefault="0081402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14022" w:rsidRDefault="00814022">
      <w:pPr>
        <w:pStyle w:val="ConsPlusTitle"/>
        <w:jc w:val="center"/>
      </w:pPr>
    </w:p>
    <w:p w:rsidR="00814022" w:rsidRDefault="00814022">
      <w:pPr>
        <w:pStyle w:val="ConsPlusTitle"/>
        <w:jc w:val="center"/>
      </w:pPr>
      <w:r>
        <w:t>РАСПОРЯЖЕНИЕ</w:t>
      </w:r>
    </w:p>
    <w:p w:rsidR="00814022" w:rsidRDefault="00814022">
      <w:pPr>
        <w:pStyle w:val="ConsPlusTitle"/>
        <w:jc w:val="center"/>
      </w:pPr>
      <w:r>
        <w:t>от 7 октября 2020 г. N 2579-р</w:t>
      </w: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28</w:t>
        </w:r>
      </w:hyperlink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утвердить прилагаемый </w:t>
      </w:r>
      <w:hyperlink w:anchor="P21" w:history="1">
        <w:r>
          <w:rPr>
            <w:color w:val="0000FF"/>
          </w:rPr>
          <w:t>перечень</w:t>
        </w:r>
      </w:hyperlink>
      <w:r>
        <w:t xml:space="preserve"> субъектов Российской Федерации, в которых вступает в силу Федеральный закон "О государственном (муниципальном) социальном заказе на оказание государственных (муниципальных) услуг в социальной сфере".</w:t>
      </w: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jc w:val="right"/>
      </w:pPr>
      <w:r>
        <w:t>Председатель Правительства</w:t>
      </w:r>
    </w:p>
    <w:p w:rsidR="00814022" w:rsidRDefault="00814022">
      <w:pPr>
        <w:pStyle w:val="ConsPlusNormal"/>
        <w:jc w:val="right"/>
      </w:pPr>
      <w:r>
        <w:t>Российской Федерации</w:t>
      </w:r>
    </w:p>
    <w:p w:rsidR="00814022" w:rsidRDefault="00814022">
      <w:pPr>
        <w:pStyle w:val="ConsPlusNormal"/>
        <w:jc w:val="right"/>
      </w:pPr>
      <w:r>
        <w:t>М.МИШУСТИН</w:t>
      </w: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jc w:val="right"/>
        <w:outlineLvl w:val="0"/>
      </w:pPr>
      <w:r>
        <w:t>Утвержден</w:t>
      </w:r>
    </w:p>
    <w:p w:rsidR="00814022" w:rsidRDefault="00814022">
      <w:pPr>
        <w:pStyle w:val="ConsPlusNormal"/>
        <w:jc w:val="right"/>
      </w:pPr>
      <w:r>
        <w:t>распоряжением Правительства</w:t>
      </w:r>
    </w:p>
    <w:p w:rsidR="00814022" w:rsidRDefault="00814022">
      <w:pPr>
        <w:pStyle w:val="ConsPlusNormal"/>
        <w:jc w:val="right"/>
      </w:pPr>
      <w:r>
        <w:t>Российской Федерации</w:t>
      </w:r>
    </w:p>
    <w:p w:rsidR="00814022" w:rsidRDefault="00814022">
      <w:pPr>
        <w:pStyle w:val="ConsPlusNormal"/>
        <w:jc w:val="right"/>
      </w:pPr>
      <w:r>
        <w:t>от 7 октября 2020 г. N 2579-р</w:t>
      </w: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Title"/>
        <w:jc w:val="center"/>
      </w:pPr>
      <w:bookmarkStart w:id="1" w:name="P21"/>
      <w:bookmarkEnd w:id="1"/>
      <w:r>
        <w:t>ПЕРЕЧЕНЬ</w:t>
      </w:r>
    </w:p>
    <w:p w:rsidR="00814022" w:rsidRDefault="00814022">
      <w:pPr>
        <w:pStyle w:val="ConsPlusTitle"/>
        <w:jc w:val="center"/>
      </w:pPr>
      <w:r>
        <w:t>СУБЪЕКТОВ РОССИЙСКОЙ ФЕДЕРАЦИИ, В КОТОРЫХ ВСТУПАЕТ В СИЛУ</w:t>
      </w:r>
    </w:p>
    <w:p w:rsidR="00814022" w:rsidRDefault="00814022">
      <w:pPr>
        <w:pStyle w:val="ConsPlusTitle"/>
        <w:jc w:val="center"/>
      </w:pPr>
      <w:r>
        <w:t xml:space="preserve">ФЕДЕРАЛЬНЫЙ ЗАКОН "О </w:t>
      </w:r>
      <w:proofErr w:type="gramStart"/>
      <w:r>
        <w:t>ГОСУДАРСТВЕННОМ</w:t>
      </w:r>
      <w:proofErr w:type="gramEnd"/>
      <w:r>
        <w:t xml:space="preserve"> (МУНИЦИПАЛЬНОМ)</w:t>
      </w:r>
    </w:p>
    <w:p w:rsidR="00814022" w:rsidRDefault="00814022">
      <w:pPr>
        <w:pStyle w:val="ConsPlusTitle"/>
        <w:jc w:val="center"/>
      </w:pPr>
      <w:r>
        <w:t xml:space="preserve">СОЦИАЛЬНОМ ЗАКАЗЕ НА ОКАЗАНИЕ </w:t>
      </w:r>
      <w:proofErr w:type="gramStart"/>
      <w:r>
        <w:t>ГОСУДАРСТВЕННЫХ</w:t>
      </w:r>
      <w:proofErr w:type="gramEnd"/>
    </w:p>
    <w:p w:rsidR="00814022" w:rsidRDefault="00814022">
      <w:pPr>
        <w:pStyle w:val="ConsPlusTitle"/>
        <w:jc w:val="center"/>
      </w:pPr>
      <w:r>
        <w:t>(МУНИЦИПАЛЬНЫХ) УСЛУГ В СОЦИАЛЬНОЙ СФЕРЕ"</w:t>
      </w: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ind w:firstLine="540"/>
        <w:jc w:val="both"/>
      </w:pPr>
      <w:r>
        <w:t>Алтайский край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Красноярский край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Ставропольский край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Белгородская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Воронежская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Калининградская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Московская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Новгородская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Новосибирская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Оренбургская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Самарская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Тюменская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lastRenderedPageBreak/>
        <w:t>Челябинская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Ярославская область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Город Санкт-Петербург</w:t>
      </w:r>
    </w:p>
    <w:p w:rsidR="00814022" w:rsidRDefault="00814022">
      <w:pPr>
        <w:pStyle w:val="ConsPlusNormal"/>
        <w:spacing w:before="220"/>
        <w:ind w:firstLine="540"/>
        <w:jc w:val="both"/>
      </w:pPr>
      <w:r>
        <w:t>Ханты-Мансийский автономный округ - Югра</w:t>
      </w: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jc w:val="both"/>
      </w:pPr>
    </w:p>
    <w:p w:rsidR="00814022" w:rsidRDefault="00814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3CD" w:rsidRDefault="00814022"/>
    <w:sectPr w:rsidR="008953CD" w:rsidSect="0027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2"/>
    <w:rsid w:val="00814022"/>
    <w:rsid w:val="00D73E32"/>
    <w:rsid w:val="00E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0EFCEEC62F60B4C1B9B83E41816CC582EC8BF1631CD97A307160898F5C0D8A3B7CC3FB8F3696F018CB4EE41C5E8528829395795A640658X5P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Пурина Светлана  Владимировна</dc:creator>
  <cp:lastModifiedBy>Пурина Светлана  Владимировна</cp:lastModifiedBy>
  <cp:revision>1</cp:revision>
  <dcterms:created xsi:type="dcterms:W3CDTF">2020-12-29T09:15:00Z</dcterms:created>
  <dcterms:modified xsi:type="dcterms:W3CDTF">2020-12-29T09:15:00Z</dcterms:modified>
</cp:coreProperties>
</file>