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5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color w:val="ffffff" w:themeColor="background1"/>
          <w:sz w:val="28"/>
          <w:szCs w:val="28"/>
          <w:highlight w:val="white"/>
        </w:rPr>
        <w:t xml:space="preserve">[</w:t>
      </w:r>
      <w:r>
        <w:rPr>
          <w:rFonts w:ascii="Times New Roman" w:hAnsi="Times New Roman" w:eastAsia="Times New Roman" w:cs="Times New Roman"/>
          <w:color w:val="ffffff" w:themeColor="background1"/>
          <w:sz w:val="28"/>
          <w:szCs w:val="28"/>
          <w:highlight w:val="white"/>
        </w:rPr>
        <w:t xml:space="preserve">МЕСТ</w:t>
      </w:r>
      <w:r>
        <w:rPr>
          <w:rFonts w:ascii="Times New Roman" w:hAnsi="Times New Roman" w:eastAsia="Times New Roman" w:cs="Times New Roman"/>
          <w:color w:val="ffffff" w:themeColor="background1"/>
          <w:sz w:val="28"/>
          <w:szCs w:val="28"/>
          <w:highlight w:val="white"/>
        </w:rPr>
        <w:t xml:space="preserve">О ДЛЯ ШТАМПА</w:t>
      </w:r>
      <w:r>
        <w:rPr>
          <w:rFonts w:ascii="Times New Roman" w:hAnsi="Times New Roman" w:eastAsia="Times New Roman" w:cs="Times New Roman"/>
          <w:color w:val="ffffff" w:themeColor="background1"/>
          <w:sz w:val="28"/>
          <w:szCs w:val="28"/>
          <w:highlight w:val="white"/>
        </w:rPr>
        <w:t xml:space="preserve">]</w:t>
      </w:r>
      <w:r>
        <w:rPr>
          <w:rFonts w:ascii="Times New Roman" w:hAnsi="Times New Roman" w:eastAsia="Times New Roman" w:cs="Times New Roman"/>
          <w:color w:val="ffffff" w:themeColor="background1"/>
          <w:sz w:val="28"/>
          <w:szCs w:val="28"/>
          <w:highlight w:val="white"/>
        </w:rPr>
        <w:t xml:space="preserve">                                                               </w:t>
      </w:r>
      <w:r>
        <w:rPr>
          <w:sz w:val="28"/>
          <w:szCs w:val="28"/>
        </w:rPr>
        <w:t xml:space="preserve">Проект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5"/>
        <w:ind w:left="4956" w:right="0" w:firstLine="128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постановления Правительства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5"/>
        <w:ind w:left="4956" w:right="0" w:firstLine="128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82"/>
        <w:ind w:firstLine="0"/>
        <w:jc w:val="both"/>
        <w:spacing w:line="240" w:lineRule="auto"/>
        <w:widowControl/>
        <w:rPr>
          <w:rFonts w:ascii="Times New Roman" w:hAnsi="Times New Roman" w:cs="Times New Roman"/>
          <w:b w:val="0"/>
          <w:bCs w:val="0"/>
          <w:color w:val="ffffff" w:themeColor="background1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color w:val="ffffff" w:themeColor="background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ffffff" w:themeColor="background1"/>
          <w:sz w:val="28"/>
          <w:szCs w:val="28"/>
          <w:highlight w:val="white"/>
        </w:rPr>
        <w:t xml:space="preserve">[МЕСТО ДЛЯ ПОДПИСИ]</w:t>
      </w:r>
      <w:r>
        <w:rPr>
          <w:rFonts w:ascii="Times New Roman" w:hAnsi="Times New Roman" w:cs="Times New Roman"/>
          <w:b w:val="0"/>
          <w:bCs w:val="0"/>
          <w:color w:val="ffffff" w:themeColor="background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ffffff" w:themeColor="background1"/>
          <w:sz w:val="28"/>
          <w:szCs w:val="28"/>
          <w:highlight w:val="white"/>
        </w:rPr>
      </w:r>
    </w:p>
    <w:p>
      <w:pPr>
        <w:pStyle w:val="705"/>
        <w:ind w:left="0" w:right="-144" w:firstLine="4820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pStyle w:val="705"/>
        <w:ind w:left="0" w:right="-144" w:firstLine="4820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pStyle w:val="705"/>
        <w:ind w:left="0" w:right="-144" w:firstLine="4820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pStyle w:val="705"/>
        <w:ind w:left="0" w:right="-144" w:firstLine="4820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pStyle w:val="705"/>
        <w:ind w:left="0" w:right="-144" w:firstLine="4820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pStyle w:val="705"/>
        <w:ind w:left="0" w:right="-144" w:firstLine="4820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ind w:left="0" w:right="-144" w:firstLine="4820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ind w:left="0" w:right="-144" w:firstLine="4820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pStyle w:val="705"/>
        <w:ind w:left="0" w:right="-144" w:firstLine="4820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  <w:lang w:val="en-US"/>
        </w:rPr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pStyle w:val="705"/>
        <w:jc w:val="center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  <w:t xml:space="preserve">О внесении измене</w:t>
      </w:r>
      <w:r>
        <w:rPr>
          <w:color w:val="000000"/>
          <w:sz w:val="28"/>
          <w:szCs w:val="28"/>
          <w:highlight w:val="white"/>
        </w:rPr>
        <w:t xml:space="preserve">ния </w:t>
      </w:r>
      <w:r>
        <w:rPr>
          <w:rFonts w:eastAsia="Calibri"/>
          <w:sz w:val="28"/>
          <w:szCs w:val="28"/>
          <w:highlight w:val="white"/>
        </w:rPr>
        <w:t xml:space="preserve">в постановление Правительства Новосибирской области </w:t>
      </w:r>
      <w:r>
        <w:rPr>
          <w:rFonts w:eastAsia="Calibri"/>
          <w:sz w:val="28"/>
          <w:szCs w:val="28"/>
          <w:highlight w:val="white"/>
        </w:rPr>
        <w:t xml:space="preserve">от 27.03.2024 № 134-п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pStyle w:val="70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70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705"/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Правительство Новосибирской области</w:t>
      </w:r>
      <w:r>
        <w:rPr>
          <w:b/>
          <w:color w:val="000000"/>
          <w:sz w:val="28"/>
          <w:szCs w:val="28"/>
        </w:rPr>
        <w:t xml:space="preserve"> п о с т а н о в л я е т</w:t>
      </w:r>
      <w:r>
        <w:rPr>
          <w:color w:val="000000"/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8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white"/>
        </w:rPr>
        <w:t xml:space="preserve">Внести в постановление Правительства Новосибирской области </w:t>
      </w:r>
      <w:r>
        <w:rPr>
          <w:rFonts w:eastAsia="Calibri"/>
          <w:sz w:val="28"/>
          <w:szCs w:val="28"/>
          <w:highlight w:val="white"/>
        </w:rPr>
        <w:t xml:space="preserve">от 27.03.2024 № 134-п «О предоставлении субсидий льготным категориям граждан на покупку и установку газоиспользующего оборудования, проведение работ внутри границ их земельных участков в рамках реализации мероприятий по осуществлению по</w:t>
      </w:r>
      <w:r>
        <w:rPr>
          <w:rFonts w:eastAsia="Calibri"/>
          <w:sz w:val="28"/>
          <w:szCs w:val="28"/>
          <w:highlight w:val="white"/>
        </w:rPr>
        <w:t xml:space="preserve">д</w:t>
      </w:r>
      <w:r>
        <w:rPr>
          <w:rFonts w:eastAsia="Calibri"/>
          <w:sz w:val="28"/>
          <w:szCs w:val="28"/>
          <w:highlight w:val="white"/>
        </w:rPr>
        <w:t xml:space="preserve">ключения (технологического присоединения) газоиспользующего оборудования и объектов капитального строительства к газораспределительным сетям при догазификации в рамках федерального проекта «Развитие рынка природного газа как моторного топлива» в Новосибирс</w:t>
      </w:r>
      <w:r>
        <w:rPr>
          <w:rFonts w:eastAsia="Calibri"/>
          <w:sz w:val="28"/>
          <w:szCs w:val="28"/>
          <w:highlight w:val="white"/>
        </w:rPr>
        <w:t xml:space="preserve">кой области в 2024-2026 годах»</w:t>
      </w:r>
      <w:r>
        <w:rPr>
          <w:rFonts w:eastAsia="Calibri"/>
          <w:sz w:val="28"/>
          <w:szCs w:val="28"/>
          <w:highlight w:val="white"/>
        </w:rPr>
        <w:t xml:space="preserve"> следующее изменен</w:t>
      </w:r>
      <w:r>
        <w:rPr>
          <w:rFonts w:eastAsia="Calibri"/>
          <w:sz w:val="28"/>
          <w:szCs w:val="28"/>
          <w:highlight w:val="white"/>
        </w:rPr>
        <w:t xml:space="preserve">ие: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left="0" w:right="0" w:firstLine="708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  <w:t xml:space="preserve">пункт пятый т</w:t>
      </w:r>
      <w:r>
        <w:rPr>
          <w:rFonts w:eastAsia="Calibri"/>
          <w:sz w:val="28"/>
          <w:szCs w:val="28"/>
          <w:highlight w:val="white"/>
        </w:rPr>
        <w:t xml:space="preserve">ребований к документам, представляемым гражданами в соответствии с законодательством Российской Федерации и нормативными правовыми актами Новосибирской области в целях подтверждения их статуса (права на получение субсидии льготным категориям граждан на пок</w:t>
      </w:r>
      <w:r>
        <w:rPr>
          <w:rFonts w:eastAsia="Calibri"/>
          <w:sz w:val="28"/>
          <w:szCs w:val="28"/>
          <w:highlight w:val="white"/>
        </w:rPr>
        <w:t xml:space="preserve">у</w:t>
      </w:r>
      <w:r>
        <w:rPr>
          <w:rFonts w:eastAsia="Calibri"/>
          <w:sz w:val="28"/>
          <w:szCs w:val="28"/>
          <w:highlight w:val="white"/>
        </w:rPr>
        <w:t xml:space="preserve">пку и установку газоиспользующего оборудования, проведение работ внутри границ их земельных участков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</w:t>
      </w:r>
      <w:r>
        <w:rPr>
          <w:rFonts w:eastAsia="Calibri"/>
          <w:sz w:val="28"/>
          <w:szCs w:val="28"/>
          <w:highlight w:val="white"/>
        </w:rPr>
        <w:t xml:space="preserve">ельства к газораспределительным сетям при догазификации в рамках федерального проекта «Развитие рынка природного газа как моторного топлива»)</w:t>
      </w:r>
      <w:r>
        <w:rPr>
          <w:rFonts w:eastAsia="Calibri"/>
          <w:sz w:val="28"/>
          <w:szCs w:val="28"/>
          <w:highlight w:val="none"/>
        </w:rPr>
        <w:t xml:space="preserve"> признать утратившим силу.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ind w:left="0" w:right="0" w:firstLine="0"/>
        <w:jc w:val="both"/>
        <w:rPr>
          <w:rFonts w:eastAsia="Calibri"/>
          <w:color w:val="000000"/>
          <w:sz w:val="28"/>
          <w:szCs w:val="28"/>
          <w:highlight w:val="yellow"/>
        </w:rPr>
      </w:pPr>
      <w:r>
        <w:rPr>
          <w:rFonts w:eastAsia="Calibri"/>
          <w:color w:val="000000"/>
          <w:sz w:val="28"/>
          <w:szCs w:val="28"/>
          <w:highlight w:val="yellow"/>
        </w:rPr>
      </w:r>
      <w:r>
        <w:rPr>
          <w:rFonts w:eastAsia="Calibri"/>
          <w:color w:val="000000"/>
          <w:sz w:val="28"/>
          <w:szCs w:val="28"/>
          <w:highlight w:val="yellow"/>
        </w:rPr>
      </w:r>
      <w:r>
        <w:rPr>
          <w:rFonts w:eastAsia="Calibri"/>
          <w:color w:val="000000"/>
          <w:sz w:val="28"/>
          <w:szCs w:val="28"/>
          <w:highlight w:val="yellow"/>
        </w:rPr>
      </w:r>
    </w:p>
    <w:p>
      <w:pPr>
        <w:ind w:left="0" w:right="0" w:firstLine="0"/>
        <w:jc w:val="both"/>
        <w:rPr>
          <w:rFonts w:eastAsia="Calibri"/>
          <w:color w:val="000000"/>
          <w:sz w:val="28"/>
          <w:szCs w:val="28"/>
          <w:highlight w:val="yellow"/>
        </w:rPr>
      </w:pPr>
      <w:r>
        <w:rPr>
          <w:rFonts w:eastAsia="Calibri"/>
          <w:color w:val="000000"/>
          <w:sz w:val="28"/>
          <w:szCs w:val="28"/>
          <w:highlight w:val="yellow"/>
        </w:rPr>
      </w:r>
      <w:r>
        <w:rPr>
          <w:rFonts w:eastAsia="Calibri"/>
          <w:color w:val="000000"/>
          <w:sz w:val="28"/>
          <w:szCs w:val="28"/>
          <w:highlight w:val="yellow"/>
        </w:rPr>
      </w:r>
      <w:r>
        <w:rPr>
          <w:rFonts w:eastAsia="Calibri"/>
          <w:color w:val="000000"/>
          <w:sz w:val="28"/>
          <w:szCs w:val="28"/>
          <w:highlight w:val="yellow"/>
        </w:rPr>
      </w:r>
    </w:p>
    <w:p>
      <w:pPr>
        <w:pStyle w:val="705"/>
        <w:ind w:left="0" w:right="0" w:firstLine="0"/>
        <w:jc w:val="both"/>
        <w:rPr>
          <w:rFonts w:eastAsia="Calibri"/>
          <w:color w:val="000000"/>
          <w:sz w:val="28"/>
          <w:szCs w:val="28"/>
          <w:highlight w:val="yellow"/>
        </w:rPr>
      </w:pPr>
      <w:r>
        <w:rPr>
          <w:rFonts w:eastAsia="Calibri"/>
          <w:color w:val="000000"/>
          <w:sz w:val="28"/>
          <w:szCs w:val="28"/>
          <w:highlight w:val="yellow"/>
        </w:rPr>
      </w:r>
      <w:r>
        <w:rPr>
          <w:rFonts w:eastAsia="Calibri"/>
          <w:color w:val="000000"/>
          <w:sz w:val="28"/>
          <w:szCs w:val="28"/>
          <w:highlight w:val="yellow"/>
        </w:rPr>
      </w:r>
      <w:r>
        <w:rPr>
          <w:rFonts w:eastAsia="Calibri"/>
          <w:color w:val="000000"/>
          <w:sz w:val="28"/>
          <w:szCs w:val="28"/>
          <w:highlight w:val="yellow"/>
        </w:rPr>
      </w:r>
    </w:p>
    <w:p>
      <w:pPr>
        <w:pStyle w:val="70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Губернатор Новосибирской области                                                    А.А. Травников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0" w:right="-1"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-1"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-1"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5"/>
        <w:widowControl w:val="off"/>
        <w:rPr>
          <w:color w:val="000000"/>
        </w:rPr>
      </w:pPr>
      <w:r>
        <w:rPr>
          <w:color w:val="000000"/>
        </w:rPr>
        <w:t xml:space="preserve">Е.В. Бахарева</w:t>
      </w:r>
      <w:r>
        <w:rPr>
          <w:color w:val="000000"/>
        </w:rPr>
      </w:r>
      <w:r>
        <w:rPr>
          <w:color w:val="000000"/>
        </w:rPr>
      </w:r>
    </w:p>
    <w:p>
      <w:pPr>
        <w:pStyle w:val="705"/>
        <w:widowControl w:val="off"/>
        <w:rPr>
          <w:color w:val="000000"/>
          <w:highlight w:val="none"/>
        </w:rPr>
      </w:pPr>
      <w:r>
        <w:rPr>
          <w:color w:val="000000"/>
        </w:rPr>
        <w:t xml:space="preserve">238 75 10</w:t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color w:val="000000"/>
          <w:highlight w:val="none"/>
        </w:rPr>
      </w:r>
    </w:p>
    <w:sectPr>
      <w:headerReference w:type="default" r:id="rId9"/>
      <w:headerReference w:type="even" r:id="rId10"/>
      <w:footerReference w:type="default" r:id="rId11"/>
      <w:footerReference w:type="even" r:id="rId12"/>
      <w:footnotePr/>
      <w:endnotePr/>
      <w:type w:val="nextPage"/>
      <w:pgSz w:w="11906" w:h="16838" w:orient="portrait"/>
      <w:pgMar w:top="766" w:right="567" w:bottom="1134" w:left="1418" w:header="709" w:footer="709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Calibri">
    <w:panose1 w:val="020F0502020204030204"/>
  </w:font>
  <w:font w:name="Liberation Sans">
    <w:panose1 w:val="020B0604020202020204"/>
  </w:font>
  <w:font w:name="Arial">
    <w:panose1 w:val="020B0604020202020204"/>
  </w:font>
  <w:font w:name="Tahoma">
    <w:panose1 w:val="020B0604030504040204"/>
  </w:font>
  <w:font w:name="Droid Sans Devanagari">
    <w:panose1 w:val="020B0606030804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5"/>
      <w:contextualSpacing/>
      <w:jc w:val="both"/>
      <w:spacing w:before="0" w:after="0" w:line="240" w:lineRule="auto"/>
      <w:rPr>
        <w:rFonts w:ascii="Times New Roman" w:hAnsi="Times New Roman"/>
        <w:b/>
        <w:bCs/>
        <w:sz w:val="16"/>
        <w:szCs w:val="16"/>
      </w:rPr>
    </w:pPr>
    <w:r>
      <w:rPr>
        <w:b/>
        <w:bCs/>
        <w:sz w:val="16"/>
        <w:szCs w:val="16"/>
      </w:rPr>
    </w:r>
    <w:r>
      <w:rPr>
        <w:rFonts w:ascii="Times New Roman" w:hAnsi="Times New Roman"/>
        <w:b/>
        <w:bCs/>
        <w:sz w:val="16"/>
        <w:szCs w:val="16"/>
      </w:rPr>
    </w:r>
    <w:r>
      <w:rPr>
        <w:rFonts w:ascii="Times New Roman" w:hAnsi="Times New Roman"/>
        <w:b/>
        <w:bCs/>
        <w:sz w:val="16"/>
        <w:szCs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5"/>
      <w:jc w:val="both"/>
      <w:rPr>
        <w:rFonts w:eastAsia="Calibri"/>
        <w:color w:val="000000"/>
        <w:sz w:val="16"/>
        <w:szCs w:val="16"/>
        <w:highlight w:val="none"/>
      </w:rPr>
    </w:pPr>
    <w:r>
      <w:rPr>
        <w:rFonts w:eastAsia="Calibri"/>
        <w:color w:val="000000"/>
        <w:sz w:val="16"/>
        <w:szCs w:val="16"/>
      </w:rPr>
    </w:r>
    <w:r>
      <w:rPr>
        <w:rFonts w:eastAsia="Calibri"/>
        <w:color w:val="000000"/>
        <w:sz w:val="16"/>
        <w:szCs w:val="16"/>
        <w:highlight w:val="none"/>
      </w:rPr>
    </w:r>
    <w:r>
      <w:rPr>
        <w:rFonts w:eastAsia="Calibri"/>
        <w:color w:val="000000"/>
        <w:sz w:val="16"/>
        <w:szCs w:val="16"/>
        <w:highlight w:val="none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70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Droid Sans Devanagar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0">
    <w:name w:val="toc 5"/>
    <w:basedOn w:val="705"/>
    <w:next w:val="705"/>
    <w:uiPriority w:val="39"/>
    <w:unhideWhenUsed/>
    <w:pPr>
      <w:ind w:left="1134" w:right="0" w:firstLine="0"/>
      <w:spacing w:after="57"/>
    </w:pPr>
  </w:style>
  <w:style w:type="paragraph" w:styleId="701">
    <w:name w:val="toc 6"/>
    <w:basedOn w:val="705"/>
    <w:next w:val="705"/>
    <w:uiPriority w:val="39"/>
    <w:unhideWhenUsed/>
    <w:pPr>
      <w:ind w:left="1417" w:right="0" w:firstLine="0"/>
      <w:spacing w:after="57"/>
    </w:pPr>
  </w:style>
  <w:style w:type="paragraph" w:styleId="702">
    <w:name w:val="toc 7"/>
    <w:basedOn w:val="705"/>
    <w:next w:val="705"/>
    <w:uiPriority w:val="39"/>
    <w:unhideWhenUsed/>
    <w:pPr>
      <w:ind w:left="1701" w:right="0" w:firstLine="0"/>
      <w:spacing w:after="57"/>
    </w:pPr>
  </w:style>
  <w:style w:type="paragraph" w:styleId="703">
    <w:name w:val="toc 8"/>
    <w:basedOn w:val="705"/>
    <w:next w:val="705"/>
    <w:uiPriority w:val="39"/>
    <w:unhideWhenUsed/>
    <w:pPr>
      <w:ind w:left="1984" w:right="0" w:firstLine="0"/>
      <w:spacing w:after="57"/>
    </w:pPr>
  </w:style>
  <w:style w:type="paragraph" w:styleId="704">
    <w:name w:val="toc 9"/>
    <w:basedOn w:val="705"/>
    <w:next w:val="705"/>
    <w:uiPriority w:val="39"/>
    <w:unhideWhenUsed/>
    <w:pPr>
      <w:ind w:left="2268" w:right="0" w:firstLine="0"/>
      <w:spacing w:after="57"/>
    </w:pPr>
  </w:style>
  <w:style w:type="paragraph" w:styleId="705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706">
    <w:name w:val="Heading 1"/>
    <w:basedOn w:val="705"/>
    <w:uiPriority w:val="9"/>
    <w:qFormat/>
    <w:pPr>
      <w:numPr>
        <w:ilvl w:val="0"/>
        <w:numId w:val="1"/>
      </w:numPr>
      <w:jc w:val="right"/>
      <w:keepNext/>
      <w:outlineLvl w:val="0"/>
    </w:pPr>
    <w:rPr>
      <w:sz w:val="28"/>
      <w:lang w:val="en-US"/>
    </w:rPr>
  </w:style>
  <w:style w:type="paragraph" w:styleId="707">
    <w:name w:val="Heading 2"/>
    <w:basedOn w:val="70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8">
    <w:name w:val="Heading 3"/>
    <w:basedOn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9">
    <w:name w:val="Heading 4"/>
    <w:basedOn w:val="70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1">
    <w:name w:val="Heading 6"/>
    <w:basedOn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16">
    <w:name w:val="Heading 2 Char"/>
    <w:uiPriority w:val="9"/>
    <w:qFormat/>
    <w:rPr>
      <w:rFonts w:ascii="Arial" w:hAnsi="Arial" w:eastAsia="Arial" w:cs="Arial"/>
      <w:sz w:val="34"/>
    </w:rPr>
  </w:style>
  <w:style w:type="character" w:styleId="717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18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19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0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2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3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4">
    <w:name w:val="Title Char"/>
    <w:uiPriority w:val="10"/>
    <w:qFormat/>
    <w:rPr>
      <w:sz w:val="48"/>
      <w:szCs w:val="48"/>
    </w:rPr>
  </w:style>
  <w:style w:type="character" w:styleId="725">
    <w:name w:val="Subtitle Char"/>
    <w:uiPriority w:val="11"/>
    <w:qFormat/>
    <w:rPr>
      <w:sz w:val="24"/>
      <w:szCs w:val="24"/>
    </w:rPr>
  </w:style>
  <w:style w:type="character" w:styleId="726">
    <w:name w:val="Quote Char"/>
    <w:uiPriority w:val="29"/>
    <w:qFormat/>
    <w:rPr>
      <w:i/>
    </w:rPr>
  </w:style>
  <w:style w:type="character" w:styleId="727">
    <w:name w:val="Intense Quote Char"/>
    <w:uiPriority w:val="30"/>
    <w:qFormat/>
    <w:rPr>
      <w:i/>
    </w:rPr>
  </w:style>
  <w:style w:type="character" w:styleId="728">
    <w:name w:val="Header Char"/>
    <w:uiPriority w:val="99"/>
    <w:qFormat/>
  </w:style>
  <w:style w:type="character" w:styleId="729">
    <w:name w:val="Footer Char"/>
    <w:uiPriority w:val="99"/>
    <w:qFormat/>
  </w:style>
  <w:style w:type="character" w:styleId="730">
    <w:name w:val="Caption Char"/>
    <w:uiPriority w:val="99"/>
    <w:qFormat/>
  </w:style>
  <w:style w:type="character" w:styleId="731">
    <w:name w:val="Hyperlink"/>
    <w:uiPriority w:val="99"/>
    <w:unhideWhenUsed/>
    <w:rPr>
      <w:color w:val="0563c1"/>
      <w:u w:val="single"/>
    </w:rPr>
  </w:style>
  <w:style w:type="character" w:styleId="732">
    <w:name w:val="Footnote Text Char"/>
    <w:uiPriority w:val="99"/>
    <w:qFormat/>
    <w:rPr>
      <w:sz w:val="18"/>
    </w:rPr>
  </w:style>
  <w:style w:type="character" w:styleId="733">
    <w:name w:val="Символ сноски"/>
    <w:uiPriority w:val="99"/>
    <w:unhideWhenUsed/>
    <w:qFormat/>
    <w:rPr>
      <w:vertAlign w:val="superscript"/>
    </w:rPr>
  </w:style>
  <w:style w:type="character" w:styleId="734">
    <w:name w:val="footnote reference"/>
    <w:rPr>
      <w:vertAlign w:val="superscript"/>
    </w:rPr>
  </w:style>
  <w:style w:type="character" w:styleId="735">
    <w:name w:val="Endnote Text Char"/>
    <w:uiPriority w:val="99"/>
    <w:qFormat/>
    <w:rPr>
      <w:sz w:val="20"/>
    </w:rPr>
  </w:style>
  <w:style w:type="character" w:styleId="73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37">
    <w:name w:val="endnote reference"/>
    <w:rPr>
      <w:vertAlign w:val="superscript"/>
    </w:rPr>
  </w:style>
  <w:style w:type="character" w:styleId="738">
    <w:name w:val="WW8Num1z0"/>
    <w:qFormat/>
  </w:style>
  <w:style w:type="character" w:styleId="739">
    <w:name w:val="WW8Num2z0"/>
    <w:qFormat/>
  </w:style>
  <w:style w:type="character" w:styleId="740">
    <w:name w:val="WW8Num3z0"/>
    <w:qFormat/>
  </w:style>
  <w:style w:type="character" w:styleId="741">
    <w:name w:val="WW8Num4z0"/>
    <w:qFormat/>
  </w:style>
  <w:style w:type="character" w:styleId="742">
    <w:name w:val="WW8Num5z0"/>
    <w:qFormat/>
  </w:style>
  <w:style w:type="character" w:styleId="743">
    <w:name w:val="WW8Num6z0"/>
    <w:qFormat/>
  </w:style>
  <w:style w:type="character" w:styleId="744">
    <w:name w:val="WW8Num7z0"/>
    <w:qFormat/>
  </w:style>
  <w:style w:type="character" w:styleId="745">
    <w:name w:val="Основной шрифт абзаца"/>
    <w:qFormat/>
  </w:style>
  <w:style w:type="character" w:styleId="746">
    <w:name w:val="Заголовок 1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74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748">
    <w:name w:val="Верхний колонтитул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749">
    <w:name w:val="Нижний колонтитул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750">
    <w:name w:val="Знак примечания"/>
    <w:qFormat/>
    <w:rPr>
      <w:sz w:val="16"/>
      <w:szCs w:val="16"/>
    </w:rPr>
  </w:style>
  <w:style w:type="character" w:styleId="751">
    <w:name w:val="Текст примечания Знак"/>
    <w:qFormat/>
    <w:rPr>
      <w:rFonts w:ascii="Times New Roman" w:hAnsi="Times New Roman" w:eastAsia="Times New Roman" w:cs="Times New Roman"/>
    </w:rPr>
  </w:style>
  <w:style w:type="character" w:styleId="752">
    <w:name w:val="Strong"/>
    <w:qFormat/>
    <w:rPr>
      <w:b/>
      <w:bCs/>
    </w:rPr>
  </w:style>
  <w:style w:type="character" w:styleId="753" w:default="1">
    <w:name w:val="Default Paragraph Font"/>
    <w:uiPriority w:val="1"/>
    <w:semiHidden/>
    <w:unhideWhenUsed/>
    <w:qFormat/>
  </w:style>
  <w:style w:type="paragraph" w:styleId="754">
    <w:name w:val="Заголовок"/>
    <w:basedOn w:val="705"/>
    <w:next w:val="755"/>
    <w:qFormat/>
    <w:pPr>
      <w:keepNext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755">
    <w:name w:val="Body Text"/>
    <w:basedOn w:val="705"/>
    <w:pPr>
      <w:spacing w:before="0" w:after="140" w:line="276" w:lineRule="auto"/>
    </w:pPr>
  </w:style>
  <w:style w:type="paragraph" w:styleId="756">
    <w:name w:val="List"/>
    <w:basedOn w:val="755"/>
    <w:rPr>
      <w:rFonts w:cs="Droid Sans Devanagari"/>
    </w:rPr>
  </w:style>
  <w:style w:type="paragraph" w:styleId="757">
    <w:name w:val="Caption"/>
    <w:basedOn w:val="705"/>
    <w:uiPriority w:val="35"/>
    <w:semiHidden/>
    <w:unhideWhenUsed/>
    <w:qFormat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758">
    <w:name w:val="Указатель"/>
    <w:basedOn w:val="705"/>
    <w:qFormat/>
    <w:pPr>
      <w:suppressLineNumbers/>
    </w:pPr>
    <w:rPr>
      <w:rFonts w:cs="Droid Sans Devanagari"/>
    </w:rPr>
  </w:style>
  <w:style w:type="paragraph" w:styleId="759">
    <w:name w:val="List Paragraph"/>
    <w:basedOn w:val="705"/>
    <w:uiPriority w:val="34"/>
    <w:qFormat/>
    <w:pPr>
      <w:contextualSpacing/>
      <w:ind w:left="720" w:firstLine="0"/>
      <w:spacing w:before="0" w:after="0"/>
    </w:pPr>
  </w:style>
  <w:style w:type="paragraph" w:styleId="760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Tahoma" w:cs="Droid Sans Devanagari"/>
      <w:color w:val="auto"/>
      <w:sz w:val="20"/>
      <w:szCs w:val="20"/>
      <w:lang w:val="ru-RU" w:eastAsia="zh-CN" w:bidi="hi-IN"/>
    </w:rPr>
  </w:style>
  <w:style w:type="paragraph" w:styleId="761">
    <w:name w:val="Title"/>
    <w:basedOn w:val="70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62">
    <w:name w:val="Subtitle"/>
    <w:basedOn w:val="705"/>
    <w:uiPriority w:val="11"/>
    <w:qFormat/>
    <w:pPr>
      <w:spacing w:before="200" w:after="200"/>
    </w:pPr>
    <w:rPr>
      <w:sz w:val="24"/>
      <w:szCs w:val="24"/>
    </w:rPr>
  </w:style>
  <w:style w:type="paragraph" w:styleId="763">
    <w:name w:val="Quote"/>
    <w:basedOn w:val="705"/>
    <w:uiPriority w:val="29"/>
    <w:qFormat/>
    <w:pPr>
      <w:ind w:left="720" w:right="720" w:firstLine="0"/>
    </w:pPr>
    <w:rPr>
      <w:i/>
    </w:rPr>
  </w:style>
  <w:style w:type="paragraph" w:styleId="764">
    <w:name w:val="Intense Quote"/>
    <w:basedOn w:val="705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65">
    <w:name w:val="Колонтитул"/>
    <w:basedOn w:val="705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66">
    <w:name w:val="Header"/>
    <w:basedOn w:val="705"/>
    <w:uiPriority w:val="99"/>
    <w:unhideWhenUsed/>
    <w:rPr>
      <w:lang w:val="en-US"/>
    </w:rPr>
  </w:style>
  <w:style w:type="paragraph" w:styleId="767">
    <w:name w:val="Footer"/>
    <w:basedOn w:val="705"/>
    <w:uiPriority w:val="99"/>
    <w:unhideWhenUsed/>
    <w:rPr>
      <w:lang w:val="en-US"/>
    </w:rPr>
  </w:style>
  <w:style w:type="paragraph" w:styleId="768">
    <w:name w:val="footnote text"/>
    <w:basedOn w:val="705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69">
    <w:name w:val="endnote text"/>
    <w:basedOn w:val="705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70">
    <w:name w:val="toc 1"/>
    <w:basedOn w:val="705"/>
    <w:uiPriority w:val="39"/>
    <w:unhideWhenUsed/>
    <w:pPr>
      <w:ind w:left="0" w:right="0" w:firstLine="0"/>
      <w:spacing w:before="0" w:after="57"/>
    </w:pPr>
  </w:style>
  <w:style w:type="paragraph" w:styleId="771">
    <w:name w:val="toc 2"/>
    <w:basedOn w:val="705"/>
    <w:uiPriority w:val="39"/>
    <w:unhideWhenUsed/>
    <w:pPr>
      <w:ind w:left="283" w:right="0" w:firstLine="0"/>
      <w:spacing w:before="0" w:after="57"/>
    </w:pPr>
  </w:style>
  <w:style w:type="paragraph" w:styleId="772">
    <w:name w:val="toc 3"/>
    <w:basedOn w:val="705"/>
    <w:uiPriority w:val="39"/>
    <w:unhideWhenUsed/>
    <w:pPr>
      <w:ind w:left="567" w:right="0" w:firstLine="0"/>
      <w:spacing w:before="0" w:after="57"/>
    </w:pPr>
  </w:style>
  <w:style w:type="paragraph" w:styleId="773">
    <w:name w:val="toc 4"/>
    <w:basedOn w:val="705"/>
    <w:uiPriority w:val="39"/>
    <w:unhideWhenUsed/>
    <w:pPr>
      <w:ind w:left="850" w:right="0" w:firstLine="0"/>
      <w:spacing w:before="0" w:after="57"/>
    </w:pPr>
  </w:style>
  <w:style w:type="paragraph" w:styleId="774">
    <w:name w:val="Index Heading"/>
    <w:basedOn w:val="754"/>
  </w:style>
  <w:style w:type="paragraph" w:styleId="775">
    <w:name w:val="TOC Heading"/>
    <w:uiPriority w:val="39"/>
    <w:unhideWhenUsed/>
    <w:pPr>
      <w:jc w:val="left"/>
      <w:spacing w:before="0" w:after="0"/>
      <w:widowControl/>
    </w:pPr>
    <w:rPr>
      <w:rFonts w:ascii="Times New Roman" w:hAnsi="Times New Roman" w:eastAsia="Tahoma" w:cs="Droid Sans Devanagari"/>
      <w:color w:val="auto"/>
      <w:sz w:val="20"/>
      <w:szCs w:val="20"/>
      <w:lang w:val="ru-RU" w:eastAsia="zh-CN" w:bidi="hi-IN"/>
    </w:rPr>
  </w:style>
  <w:style w:type="paragraph" w:styleId="776">
    <w:name w:val="table of figures"/>
    <w:basedOn w:val="705"/>
    <w:uiPriority w:val="99"/>
    <w:unhideWhenUsed/>
    <w:qFormat/>
    <w:pPr>
      <w:spacing w:before="0" w:after="0" w:afterAutospacing="0"/>
    </w:pPr>
  </w:style>
  <w:style w:type="paragraph" w:styleId="777">
    <w:name w:val="Абзац списка"/>
    <w:basedOn w:val="705"/>
    <w:qFormat/>
    <w:pPr>
      <w:contextualSpacing/>
      <w:ind w:left="720" w:right="0" w:firstLine="0"/>
      <w:spacing w:before="0" w:after="0"/>
    </w:pPr>
  </w:style>
  <w:style w:type="paragraph" w:styleId="778">
    <w:name w:val="Текст выноски"/>
    <w:basedOn w:val="705"/>
    <w:qFormat/>
    <w:rPr>
      <w:rFonts w:ascii="Tahoma" w:hAnsi="Tahoma" w:cs="Tahoma"/>
      <w:sz w:val="16"/>
      <w:szCs w:val="16"/>
      <w:lang w:val="en-US"/>
    </w:rPr>
  </w:style>
  <w:style w:type="paragraph" w:styleId="779">
    <w:name w:val="ConsPlusCell"/>
    <w:qFormat/>
    <w:pPr>
      <w:jc w:val="left"/>
      <w:spacing w:before="0" w:after="0"/>
      <w:widowControl/>
    </w:pPr>
    <w:rPr>
      <w:rFonts w:ascii="Times New Roman" w:hAnsi="Times New Roman" w:eastAsia="Calibri" w:cs="Times New Roman"/>
      <w:color w:val="auto"/>
      <w:sz w:val="28"/>
      <w:szCs w:val="28"/>
      <w:lang w:val="ru-RU" w:eastAsia="zh-CN" w:bidi="ar-SA"/>
    </w:rPr>
  </w:style>
  <w:style w:type="paragraph" w:styleId="780">
    <w:name w:val="ConsPlusNonformat"/>
    <w:qFormat/>
    <w:pPr>
      <w:jc w:val="left"/>
      <w:spacing w:before="0" w:after="0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781">
    <w:name w:val="Без интервала"/>
    <w:qFormat/>
    <w:pPr>
      <w:ind w:left="0" w:right="0" w:firstLine="720"/>
      <w:jc w:val="both"/>
      <w:spacing w:before="0" w:after="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782">
    <w:name w:val="ConsPlusNormal"/>
    <w:qFormat/>
    <w:pPr>
      <w:jc w:val="left"/>
      <w:spacing w:before="0" w:after="0"/>
      <w:widowControl/>
    </w:pPr>
    <w:rPr>
      <w:rFonts w:ascii="Calibri" w:hAnsi="Calibri" w:eastAsia="Calibri" w:cs="Calibri"/>
      <w:b/>
      <w:bCs/>
      <w:color w:val="auto"/>
      <w:sz w:val="22"/>
      <w:szCs w:val="22"/>
      <w:lang w:val="ru-RU" w:eastAsia="zh-CN" w:bidi="ar-SA"/>
    </w:rPr>
  </w:style>
  <w:style w:type="paragraph" w:styleId="783">
    <w:name w:val="Текст примечания"/>
    <w:basedOn w:val="705"/>
    <w:qFormat/>
  </w:style>
  <w:style w:type="paragraph" w:styleId="784">
    <w:name w:val="Верхний колонтитул слева"/>
    <w:basedOn w:val="766"/>
    <w:qFormat/>
    <w:pPr>
      <w:tabs>
        <w:tab w:val="clear" w:pos="708" w:leader="none"/>
        <w:tab w:val="center" w:pos="4960" w:leader="none"/>
        <w:tab w:val="right" w:pos="9921" w:leader="none"/>
      </w:tabs>
      <w:suppressLineNumbers/>
    </w:pPr>
  </w:style>
  <w:style w:type="numbering" w:styleId="785" w:default="1">
    <w:name w:val="No List"/>
    <w:uiPriority w:val="99"/>
    <w:semiHidden/>
    <w:unhideWhenUsed/>
    <w:qFormat/>
  </w:style>
  <w:style w:type="table" w:styleId="786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7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8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9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90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1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3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5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816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817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18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19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0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1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2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2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28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2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3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3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3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3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3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35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50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51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52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53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54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55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56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7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7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8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8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8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8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84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8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8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8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8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8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9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9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9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9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9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9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9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9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90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90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90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90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90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905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06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7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08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09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10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11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1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КонсультантПлюс Версия 4024.00.51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Новосибирской области от 02.08.2010 N 80-п(ред. от 23.09.2024)"О Порядке предоставления денежных пособий лицам, ставшим инвалидами вследствие ранения, контузии или увечья, полученных при исполнении обязанностей военной службы, службы в войсках национальной гвардии Российской Федерации в ходе боевых действий, членам семей погибших участников боевых действий"</dc:title>
  <dc:subject/>
  <dc:creator>vki</dc:creator>
  <dc:description/>
  <dc:language>ru-RU</dc:language>
  <cp:revision>105</cp:revision>
  <dcterms:created xsi:type="dcterms:W3CDTF">2024-11-27T14:31:00Z</dcterms:created>
  <dcterms:modified xsi:type="dcterms:W3CDTF">2026-08-17T07:25:35Z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