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000" w:firstRow="0" w:lastRow="0" w:firstColumn="0" w:lastColumn="0" w:noHBand="0" w:noVBand="0"/>
      </w:tblPr>
      <w:tblGrid>
        <w:gridCol w:w="1356"/>
        <w:gridCol w:w="7008"/>
        <w:gridCol w:w="567"/>
        <w:gridCol w:w="1134"/>
      </w:tblGrid>
      <w:tr>
        <w:tblPrEx/>
        <w:trPr>
          <w:trHeight w:val="2698"/>
        </w:trPr>
        <w:tc>
          <w:tcPr>
            <w:gridSpan w:val="4"/>
            <w:tcW w:w="10065" w:type="dxa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8955" cy="650240"/>
                      <wp:effectExtent l="0" t="0" r="4445" b="0"/>
                      <wp:docPr id="1" name="Рисунок 2" descr="embl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emblem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28955" cy="65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65pt;height:51.2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МИНИСТЕРСТВО ТРУДА И СОЦИАЛЬНОГО РАЗВИТИЯ</w:t>
            </w:r>
            <w:r>
              <w:rPr>
                <w:b/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НОВОСИБИРСКОЙ ОБЛАСТИ</w:t>
            </w:r>
            <w:r>
              <w:rPr>
                <w:b/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</w:r>
            <w:r>
              <w:rPr>
                <w:b/>
                <w:color w:val="auto"/>
                <w:sz w:val="16"/>
                <w:szCs w:val="16"/>
              </w:rPr>
            </w:r>
          </w:p>
          <w:p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ПРИКАЗ</w:t>
            </w:r>
            <w:r>
              <w:rPr>
                <w:b/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1356" w:type="dxa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7008" w:type="dxa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left="-2" w:firstLine="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№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right="-249"/>
              <w:tabs>
                <w:tab w:val="left" w:pos="1224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7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Cs w:val="28"/>
              </w:rPr>
              <w:t xml:space="preserve">г. Новосибирск</w:t>
            </w:r>
            <w:r>
              <w:rPr>
                <w:color w:val="auto"/>
                <w:sz w:val="28"/>
                <w:szCs w:val="28"/>
              </w:rPr>
            </w:r>
          </w:p>
        </w:tc>
      </w:tr>
    </w:tbl>
    <w:p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труда и социального развития Новосибирской области по предоставлению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«Предоставление ежемесяч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денежной выплаты отдельным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категориям граждан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Новосибирской области»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постановлением </w:t>
      </w:r>
      <w:r>
        <w:rPr>
          <w:color w:val="auto"/>
          <w:sz w:val="28"/>
          <w:szCs w:val="28"/>
        </w:rPr>
        <w:t xml:space="preserve">Администрации Новосибирской области от 27.06.2005</w:t>
      </w:r>
      <w:r>
        <w:rPr>
          <w:color w:val="auto"/>
          <w:sz w:val="28"/>
          <w:szCs w:val="28"/>
        </w:rPr>
        <w:t xml:space="preserve"> №</w:t>
      </w:r>
      <w:r>
        <w:rPr>
          <w:color w:val="auto"/>
          <w:sz w:val="28"/>
          <w:szCs w:val="28"/>
          <w:lang w:val="en-US"/>
        </w:rPr>
        <w:t xml:space="preserve"> </w:t>
      </w:r>
      <w:r>
        <w:rPr>
          <w:color w:val="auto"/>
          <w:sz w:val="28"/>
          <w:szCs w:val="28"/>
        </w:rPr>
        <w:t xml:space="preserve">44</w:t>
      </w:r>
      <w:r>
        <w:rPr>
          <w:color w:val="auto"/>
          <w:sz w:val="28"/>
          <w:szCs w:val="28"/>
        </w:rPr>
        <w:t xml:space="preserve"> «Об утверждении Порядка предоставления е</w:t>
      </w:r>
      <w:r>
        <w:rPr>
          <w:color w:val="auto"/>
          <w:sz w:val="28"/>
          <w:szCs w:val="28"/>
        </w:rPr>
        <w:t xml:space="preserve">жемесячных денежных выплат отдельным категориям граждан </w:t>
      </w:r>
      <w:r>
        <w:rPr>
          <w:color w:val="auto"/>
          <w:sz w:val="28"/>
          <w:szCs w:val="28"/>
        </w:rPr>
        <w:t xml:space="preserve">в Новосибирской области»</w:t>
      </w:r>
      <w:r>
        <w:rPr>
          <w:color w:val="auto"/>
          <w:sz w:val="28"/>
          <w:szCs w:val="28"/>
        </w:rPr>
      </w:r>
    </w:p>
    <w:p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ПРИКАЗЫВАЮ</w:t>
      </w:r>
      <w:r>
        <w:rPr>
          <w:color w:val="auto"/>
          <w:sz w:val="28"/>
          <w:szCs w:val="28"/>
        </w:rPr>
        <w:t xml:space="preserve">:</w:t>
      </w:r>
      <w:r>
        <w:rPr>
          <w:color w:val="auto"/>
          <w:sz w:val="28"/>
          <w:szCs w:val="28"/>
        </w:rPr>
      </w:r>
    </w:p>
    <w:p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32"/>
        <w:spacing w:before="0"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1. </w:t>
      </w:r>
      <w:r>
        <w:rPr>
          <w:color w:val="auto"/>
          <w:sz w:val="28"/>
          <w:szCs w:val="28"/>
        </w:rPr>
        <w:t xml:space="preserve">Утвердить прилагаемый Административный </w:t>
      </w:r>
      <w:hyperlink r:id="rId12" w:tooltip="https://login.consultant.ru/link/?rnd=4F76CFA3B754175EE6B7A4131CD947A5&amp;req=doc&amp;base=LAW&amp;n=314549&amp;dst=100017&amp;fld=134&amp;date=22.01.2020" w:history="1">
        <w:r>
          <w:rPr>
            <w:color w:val="auto"/>
            <w:sz w:val="28"/>
            <w:szCs w:val="28"/>
          </w:rPr>
          <w:t xml:space="preserve">регламент</w:t>
        </w:r>
      </w:hyperlink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министерства труда и социального развития Новосибирской области</w:t>
      </w:r>
      <w:r>
        <w:rPr>
          <w:color w:val="auto"/>
          <w:sz w:val="28"/>
          <w:szCs w:val="28"/>
        </w:rPr>
        <w:t xml:space="preserve"> по предоставлению государственной услуги «</w:t>
      </w:r>
      <w:r>
        <w:rPr>
          <w:color w:val="auto"/>
          <w:sz w:val="28"/>
          <w:szCs w:val="28"/>
        </w:rPr>
        <w:t xml:space="preserve">Предоставление </w:t>
      </w:r>
      <w:r>
        <w:rPr>
          <w:bCs/>
          <w:color w:val="auto"/>
          <w:sz w:val="28"/>
          <w:szCs w:val="28"/>
        </w:rPr>
        <w:t xml:space="preserve">ежемесячн</w:t>
      </w:r>
      <w:r>
        <w:rPr>
          <w:bCs/>
          <w:color w:val="auto"/>
          <w:sz w:val="28"/>
          <w:szCs w:val="28"/>
        </w:rPr>
        <w:t xml:space="preserve">ой денежной выплаты отдельным категори</w:t>
      </w:r>
      <w:r>
        <w:rPr>
          <w:bCs/>
          <w:color w:val="auto"/>
          <w:sz w:val="28"/>
          <w:szCs w:val="28"/>
        </w:rPr>
        <w:t xml:space="preserve">ям граждан</w:t>
      </w:r>
      <w:r>
        <w:rPr>
          <w:bCs/>
          <w:color w:val="auto"/>
          <w:sz w:val="28"/>
          <w:szCs w:val="28"/>
        </w:rPr>
        <w:t xml:space="preserve"> в Новосибирской области</w:t>
      </w:r>
      <w:r>
        <w:rPr>
          <w:color w:val="auto"/>
          <w:sz w:val="28"/>
          <w:szCs w:val="28"/>
        </w:rPr>
        <w:t xml:space="preserve">» (далее – </w:t>
      </w:r>
      <w:r>
        <w:rPr>
          <w:color w:val="auto"/>
          <w:sz w:val="28"/>
          <w:szCs w:val="28"/>
        </w:rPr>
        <w:t xml:space="preserve">Административный регламент).</w:t>
      </w:r>
      <w:r>
        <w:rPr>
          <w:color w:val="auto"/>
          <w:sz w:val="28"/>
          <w:szCs w:val="28"/>
        </w:rPr>
      </w:r>
    </w:p>
    <w:p>
      <w:pPr>
        <w:pStyle w:val="732"/>
        <w:spacing w:before="0"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2. </w:t>
      </w:r>
      <w:r>
        <w:rPr>
          <w:color w:val="auto"/>
          <w:sz w:val="28"/>
          <w:szCs w:val="28"/>
        </w:rPr>
        <w:t xml:space="preserve">Признать утратившим силу</w:t>
      </w:r>
      <w:r>
        <w:rPr>
          <w:color w:val="auto"/>
          <w:sz w:val="28"/>
          <w:szCs w:val="28"/>
        </w:rPr>
        <w:t xml:space="preserve"> приказ министерства труда и социального развития Новосибирской области от 20.12.2024 № 2756-НПА</w:t>
      </w:r>
      <w:r>
        <w:rPr>
          <w:bCs/>
          <w:color w:val="auto"/>
          <w:sz w:val="28"/>
          <w:szCs w:val="28"/>
        </w:rPr>
        <w:t xml:space="preserve"> «Об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«Предоставление </w:t>
      </w:r>
      <w:r>
        <w:rPr>
          <w:bCs/>
          <w:color w:val="auto"/>
          <w:sz w:val="28"/>
          <w:szCs w:val="28"/>
        </w:rPr>
        <w:t xml:space="preserve">ежемесячн</w:t>
      </w:r>
      <w:r>
        <w:rPr>
          <w:bCs/>
          <w:color w:val="auto"/>
          <w:sz w:val="28"/>
          <w:szCs w:val="28"/>
        </w:rPr>
        <w:t xml:space="preserve">ой денежной выплаты отдельным категори</w:t>
      </w:r>
      <w:r>
        <w:rPr>
          <w:bCs/>
          <w:color w:val="auto"/>
          <w:sz w:val="28"/>
          <w:szCs w:val="28"/>
        </w:rPr>
        <w:t xml:space="preserve">ям граждан</w:t>
      </w:r>
      <w:r>
        <w:rPr>
          <w:bCs/>
          <w:color w:val="auto"/>
          <w:sz w:val="28"/>
          <w:szCs w:val="28"/>
        </w:rPr>
        <w:t xml:space="preserve"> в Новосибирской области»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p>
      <w:pPr>
        <w:pStyle w:val="732"/>
        <w:spacing w:before="0"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3. </w:t>
      </w:r>
      <w:r>
        <w:rPr>
          <w:color w:val="auto"/>
          <w:sz w:val="28"/>
          <w:szCs w:val="28"/>
        </w:rPr>
        <w:t xml:space="preserve">Начальнику управления организации социальных выплат </w:t>
      </w:r>
      <w:r>
        <w:rPr>
          <w:color w:val="auto"/>
          <w:sz w:val="28"/>
        </w:rPr>
        <w:t xml:space="preserve">Доропеевой С.Р. </w:t>
      </w:r>
      <w:r>
        <w:rPr>
          <w:color w:val="auto"/>
          <w:sz w:val="28"/>
          <w:szCs w:val="28"/>
        </w:rPr>
        <w:t xml:space="preserve">обеспечить предоставление государственной услуги в соответствии с Административным регламентом.</w:t>
      </w:r>
      <w:r>
        <w:rPr>
          <w:color w:val="auto"/>
          <w:sz w:val="28"/>
          <w:szCs w:val="28"/>
        </w:rPr>
      </w:r>
    </w:p>
    <w:p>
      <w:pPr>
        <w:pStyle w:val="732"/>
        <w:spacing w:before="0"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приказа возложить на заместителя министра труда и социального развития Новосибирской области Мальцеву Т.А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p>
      <w:pPr>
        <w:pStyle w:val="732"/>
        <w:spacing w:before="0" w:after="0" w:line="240" w:lineRule="auto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732"/>
        <w:spacing w:before="0" w:after="0" w:line="240" w:lineRule="auto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732"/>
        <w:spacing w:before="0" w:after="0" w:line="240" w:lineRule="auto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732"/>
        <w:ind w:firstLine="0"/>
        <w:spacing w:before="0" w:after="0" w:line="240" w:lineRule="auto"/>
        <w:rPr>
          <w:color w:val="auto"/>
          <w:sz w:val="28"/>
        </w:rPr>
      </w:pPr>
      <w:r>
        <w:rPr>
          <w:color w:val="auto"/>
          <w:sz w:val="28"/>
        </w:rPr>
        <w:t xml:space="preserve">Министр</w:t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  <w:t xml:space="preserve">                         </w:t>
      </w:r>
      <w:r>
        <w:rPr>
          <w:color w:val="auto"/>
          <w:sz w:val="28"/>
        </w:rPr>
        <w:t xml:space="preserve">            Е.В. </w:t>
      </w:r>
      <w:r>
        <w:rPr>
          <w:color w:val="auto"/>
          <w:sz w:val="28"/>
        </w:rPr>
        <w:t xml:space="preserve">Бахарева</w:t>
      </w:r>
      <w:r>
        <w:rPr>
          <w:color w:val="auto"/>
          <w:sz w:val="28"/>
        </w:rPr>
      </w:r>
    </w:p>
    <w:p>
      <w:pPr>
        <w:pStyle w:val="747"/>
        <w:jc w:val="center"/>
        <w:spacing w:line="259" w:lineRule="auto"/>
        <w:rPr>
          <w:color w:val="auto"/>
          <w:sz w:val="28"/>
          <w:szCs w:val="28"/>
        </w:rPr>
      </w:pPr>
      <w:r>
        <w:rPr>
          <w:color w:val="auto"/>
        </w:rPr>
        <w:br w:type="page" w:clear="all"/>
      </w:r>
      <w:r>
        <w:rPr>
          <w:color w:val="auto"/>
        </w:rPr>
        <w:t xml:space="preserve">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УТВЕРЖДЕН</w:t>
      </w:r>
      <w:r>
        <w:rPr>
          <w:color w:val="auto"/>
          <w:sz w:val="28"/>
          <w:szCs w:val="28"/>
        </w:rPr>
      </w:r>
    </w:p>
    <w:p>
      <w:pPr>
        <w:ind w:left="538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приказом министерства труда и</w:t>
      </w:r>
      <w:r>
        <w:rPr>
          <w:color w:val="auto"/>
          <w:sz w:val="28"/>
          <w:szCs w:val="28"/>
        </w:rPr>
      </w:r>
    </w:p>
    <w:p>
      <w:pPr>
        <w:ind w:left="538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социального развития</w:t>
      </w:r>
      <w:r>
        <w:rPr>
          <w:color w:val="auto"/>
          <w:sz w:val="28"/>
          <w:szCs w:val="28"/>
        </w:rPr>
      </w:r>
    </w:p>
    <w:p>
      <w:pPr>
        <w:ind w:left="538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Новосибирской области</w:t>
      </w:r>
      <w:r>
        <w:rPr>
          <w:color w:val="auto"/>
          <w:sz w:val="28"/>
          <w:szCs w:val="28"/>
        </w:rPr>
      </w:r>
    </w:p>
    <w:p>
      <w:pPr>
        <w:ind w:left="538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_____________ № ________</w:t>
      </w:r>
      <w:r>
        <w:rPr>
          <w:color w:val="auto"/>
          <w:sz w:val="28"/>
          <w:szCs w:val="28"/>
        </w:rPr>
      </w:r>
    </w:p>
    <w:p>
      <w:pPr>
        <w:pStyle w:val="747"/>
        <w:contextualSpacing/>
        <w:ind w:right="-1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  <w:t xml:space="preserve">Административный регламент</w:t>
      </w:r>
      <w:r>
        <w:rPr>
          <w:b/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bCs/>
          <w:color w:val="auto"/>
          <w:sz w:val="28"/>
          <w:szCs w:val="28"/>
        </w:rPr>
        <w:t xml:space="preserve">м</w:t>
      </w:r>
      <w:r>
        <w:rPr>
          <w:b/>
          <w:bCs/>
          <w:color w:val="auto"/>
          <w:sz w:val="28"/>
          <w:szCs w:val="28"/>
        </w:rPr>
        <w:t xml:space="preserve">инистерства труда и социального развития Новосибирской области</w:t>
      </w:r>
      <w:r>
        <w:rPr>
          <w:b/>
          <w:iCs/>
          <w:color w:val="auto"/>
          <w:sz w:val="28"/>
        </w:rPr>
        <w:t xml:space="preserve"> по предоставлению государственной услуги «Предоставление ежемесячной денежной выплаты отдельным категориям граждан в Новосибирской области»</w:t>
      </w:r>
      <w:r>
        <w:rPr>
          <w:b/>
          <w:iCs/>
          <w:color w:val="auto"/>
          <w:sz w:val="28"/>
        </w:rPr>
      </w:r>
    </w:p>
    <w:p>
      <w:pPr>
        <w:pStyle w:val="747"/>
        <w:contextualSpacing/>
        <w:ind w:right="-1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  <w:t xml:space="preserve">I. Общие положения</w:t>
      </w:r>
      <w:r>
        <w:rPr>
          <w:b/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«Предоставление ежемесячной денежной выплаты отдельным категориям граждан в Новосибирской </w:t>
      </w:r>
      <w:r>
        <w:rPr>
          <w:iCs/>
          <w:color w:val="auto"/>
          <w:sz w:val="28"/>
        </w:rPr>
        <w:t xml:space="preserve">области»</w:t>
      </w:r>
      <w:r>
        <w:rPr>
          <w:iCs/>
          <w:color w:val="auto"/>
          <w:sz w:val="28"/>
        </w:rPr>
        <w:t xml:space="preserve"> (</w:t>
      </w:r>
      <w:r>
        <w:rPr>
          <w:iCs/>
          <w:color w:val="auto"/>
          <w:sz w:val="28"/>
        </w:rPr>
        <w:t xml:space="preserve">далее – Услуга)</w:t>
      </w:r>
      <w:r>
        <w:rPr>
          <w:iCs/>
          <w:color w:val="auto"/>
          <w:sz w:val="28"/>
        </w:rPr>
        <w:t xml:space="preserve">.</w:t>
      </w:r>
      <w:r>
        <w:rPr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Услуга предоставляется следующим категориям заявителей</w:t>
      </w:r>
      <w:r>
        <w:rPr>
          <w:iCs/>
          <w:color w:val="auto"/>
          <w:sz w:val="32"/>
        </w:rPr>
        <w:t xml:space="preserve">:</w:t>
      </w:r>
      <w:r>
        <w:rPr>
          <w:iCs/>
          <w:color w:val="auto"/>
          <w:sz w:val="28"/>
        </w:rPr>
      </w:r>
    </w:p>
    <w:p>
      <w:pPr>
        <w:pStyle w:val="759"/>
        <w:ind w:left="0" w:right="0" w:firstLine="850"/>
        <w:jc w:val="both"/>
        <w:spacing w:before="0" w:beforeAutospacing="0" w:after="0" w:afterAutospacing="0" w:line="288" w:lineRule="atLeast"/>
        <w:rPr>
          <w:color w:val="000000"/>
          <w:sz w:val="28"/>
          <w:szCs w:val="20"/>
        </w:rPr>
      </w:pPr>
      <w:r>
        <w:rPr>
          <w:sz w:val="28"/>
          <w:szCs w:val="28"/>
        </w:rPr>
        <w:t xml:space="preserve">- </w:t>
      </w:r>
      <w:r>
        <w:rPr>
          <w:iCs/>
          <w:sz w:val="28"/>
        </w:rPr>
        <w:t xml:space="preserve">ветераны труда Новосибирской области</w:t>
      </w:r>
      <w:r>
        <w:rPr>
          <w:iCs/>
          <w:sz w:val="28"/>
        </w:rPr>
        <w:t xml:space="preserve">, </w:t>
      </w:r>
      <w:r>
        <w:rPr>
          <w:color w:val="000000"/>
          <w:sz w:val="28"/>
          <w:szCs w:val="20"/>
        </w:rPr>
        <w:t xml:space="preserve">постоянно проживающие на территории Новосибирской области, а также ветераны труда Новосибирской области имеющих</w:t>
      </w:r>
      <w:r>
        <w:rPr>
          <w:color w:val="000000"/>
          <w:sz w:val="28"/>
          <w:szCs w:val="20"/>
        </w:rPr>
        <w:t xml:space="preserve">, но не реализовавших</w:t>
      </w:r>
      <w:r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право </w:t>
      </w:r>
      <w:r>
        <w:rPr>
          <w:color w:val="000000"/>
          <w:sz w:val="28"/>
          <w:szCs w:val="20"/>
        </w:rPr>
        <w:t xml:space="preserve">на ежемесячную денежную выплату в соответствии с Законом Новосиби</w:t>
      </w:r>
      <w:r>
        <w:rPr>
          <w:color w:val="000000"/>
          <w:sz w:val="28"/>
          <w:szCs w:val="20"/>
        </w:rPr>
        <w:t xml:space="preserve">рской области от 29.12.2004 № 253-ОЗ «</w:t>
      </w:r>
      <w:r>
        <w:rPr>
          <w:color w:val="000000"/>
          <w:sz w:val="28"/>
          <w:szCs w:val="20"/>
        </w:rPr>
        <w:t xml:space="preserve">О </w:t>
      </w:r>
      <w:r>
        <w:rPr>
          <w:color w:val="000000"/>
          <w:sz w:val="28"/>
          <w:szCs w:val="20"/>
        </w:rPr>
        <w:t xml:space="preserve">мерах социальной поддержки отдельных категорий граждан, прож</w:t>
      </w:r>
      <w:r>
        <w:rPr>
          <w:color w:val="000000"/>
          <w:sz w:val="28"/>
          <w:szCs w:val="20"/>
        </w:rPr>
        <w:t xml:space="preserve">ивающих в Новосибирской области»</w:t>
      </w:r>
      <w:r>
        <w:rPr>
          <w:color w:val="000000"/>
          <w:sz w:val="28"/>
          <w:szCs w:val="20"/>
        </w:rPr>
        <w:t xml:space="preserve"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zCs w:val="20"/>
        </w:rPr>
        <w:t xml:space="preserve">в случае смены ими места жительства в пределах Российской Федерации,</w:t>
      </w:r>
      <w:r>
        <w:rPr>
          <w:color w:val="000000"/>
          <w:sz w:val="28"/>
          <w:szCs w:val="20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- </w:t>
      </w:r>
      <w:r>
        <w:rPr>
          <w:iCs/>
          <w:color w:val="auto"/>
          <w:sz w:val="28"/>
        </w:rPr>
        <w:t xml:space="preserve">ветераны труда, а такж</w:t>
      </w:r>
      <w:r>
        <w:rPr>
          <w:iCs/>
          <w:color w:val="auto"/>
          <w:sz w:val="28"/>
        </w:rPr>
        <w:t xml:space="preserve">е граждане, приравненные к ним </w:t>
      </w:r>
      <w:r>
        <w:rPr>
          <w:iCs/>
          <w:color w:val="auto"/>
          <w:sz w:val="28"/>
        </w:rPr>
        <w:t xml:space="preserve">по со</w:t>
      </w:r>
      <w:r>
        <w:rPr>
          <w:iCs/>
          <w:color w:val="auto"/>
          <w:sz w:val="28"/>
        </w:rPr>
        <w:t xml:space="preserve">стоянию на 31 декабря 2004 года</w:t>
      </w:r>
      <w:r>
        <w:rPr>
          <w:iCs/>
          <w:color w:val="auto"/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постоян</w:t>
      </w:r>
      <w:r>
        <w:rPr>
          <w:sz w:val="28"/>
        </w:rPr>
        <w:t xml:space="preserve">но проживающие</w:t>
      </w:r>
      <w:r>
        <w:rPr>
          <w:sz w:val="28"/>
        </w:rPr>
        <w:t xml:space="preserve"> на территории Новосибирской области</w:t>
      </w:r>
      <w:r>
        <w:rPr>
          <w:iCs/>
          <w:color w:val="auto"/>
          <w:sz w:val="28"/>
        </w:rPr>
        <w:t xml:space="preserve">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- </w:t>
      </w:r>
      <w:r>
        <w:rPr>
          <w:iCs/>
          <w:color w:val="auto"/>
          <w:sz w:val="28"/>
        </w:rPr>
        <w:t xml:space="preserve">лица, подвергшиеся политическим репрессиям и признанные реабилитированным</w:t>
      </w:r>
      <w:r>
        <w:rPr>
          <w:iCs/>
          <w:color w:val="auto"/>
          <w:sz w:val="28"/>
        </w:rPr>
        <w:t xml:space="preserve">и</w:t>
      </w:r>
      <w:r>
        <w:rPr>
          <w:iCs/>
          <w:color w:val="auto"/>
          <w:sz w:val="28"/>
        </w:rPr>
        <w:t xml:space="preserve">, а также </w:t>
      </w:r>
      <w:r>
        <w:rPr>
          <w:iCs/>
          <w:color w:val="auto"/>
          <w:sz w:val="28"/>
        </w:rPr>
        <w:t xml:space="preserve">лица, признанные пострадавшими от поли</w:t>
      </w:r>
      <w:r>
        <w:rPr>
          <w:iCs/>
          <w:color w:val="auto"/>
          <w:sz w:val="28"/>
        </w:rPr>
        <w:t xml:space="preserve">тических репрессий</w:t>
      </w:r>
      <w:r>
        <w:rPr>
          <w:iCs/>
          <w:color w:val="auto"/>
          <w:sz w:val="28"/>
        </w:rPr>
        <w:t xml:space="preserve">, </w:t>
      </w:r>
      <w:r>
        <w:rPr>
          <w:sz w:val="28"/>
        </w:rPr>
        <w:t xml:space="preserve">постоян</w:t>
      </w:r>
      <w:r>
        <w:rPr>
          <w:sz w:val="28"/>
        </w:rPr>
        <w:t xml:space="preserve">но проживающие</w:t>
      </w:r>
      <w:r>
        <w:rPr>
          <w:sz w:val="28"/>
        </w:rPr>
        <w:t xml:space="preserve"> на территории Новосибирской области</w:t>
      </w:r>
      <w:r>
        <w:rPr>
          <w:iCs/>
          <w:color w:val="auto"/>
          <w:sz w:val="28"/>
        </w:rPr>
        <w:t xml:space="preserve">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- </w:t>
      </w:r>
      <w:r>
        <w:rPr>
          <w:iCs/>
          <w:color w:val="auto"/>
          <w:sz w:val="28"/>
        </w:rPr>
        <w:t xml:space="preserve">лица, проработав</w:t>
      </w:r>
      <w:r>
        <w:rPr>
          <w:iCs/>
          <w:color w:val="auto"/>
          <w:sz w:val="28"/>
        </w:rPr>
        <w:t xml:space="preserve">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</w:r>
      <w:r>
        <w:rPr>
          <w:iCs/>
          <w:color w:val="auto"/>
          <w:sz w:val="28"/>
        </w:rPr>
        <w:t xml:space="preserve">, </w:t>
      </w:r>
      <w:r>
        <w:rPr>
          <w:sz w:val="28"/>
        </w:rPr>
        <w:t xml:space="preserve">постоян</w:t>
      </w:r>
      <w:r>
        <w:rPr>
          <w:sz w:val="28"/>
        </w:rPr>
        <w:t xml:space="preserve">но проживающие</w:t>
      </w:r>
      <w:r>
        <w:rPr>
          <w:sz w:val="28"/>
        </w:rPr>
        <w:t xml:space="preserve"> на территории Новосибирской области</w:t>
      </w:r>
      <w:r>
        <w:rPr>
          <w:iCs/>
          <w:color w:val="auto"/>
          <w:sz w:val="28"/>
        </w:rPr>
        <w:t xml:space="preserve">;</w:t>
      </w:r>
      <w:r>
        <w:rPr>
          <w:iCs/>
          <w:color w:val="auto"/>
          <w:sz w:val="28"/>
        </w:rPr>
      </w:r>
    </w:p>
    <w:p>
      <w:pPr>
        <w:pStyle w:val="755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- уполно</w:t>
      </w:r>
      <w:r>
        <w:rPr>
          <w:iCs/>
          <w:color w:val="auto"/>
          <w:sz w:val="28"/>
        </w:rPr>
        <w:t xml:space="preserve">моченный представитель</w:t>
      </w:r>
      <w:r>
        <w:rPr>
          <w:iCs/>
          <w:color w:val="auto"/>
          <w:sz w:val="28"/>
        </w:rPr>
        <w:t xml:space="preserve">.</w:t>
      </w:r>
      <w:r>
        <w:rPr>
          <w:iCs/>
          <w:color w:val="auto"/>
          <w:sz w:val="28"/>
        </w:rPr>
      </w:r>
    </w:p>
    <w:p>
      <w:pPr>
        <w:pStyle w:val="755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Данные категории заявителей указаны в таблице №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1 приложения к настоящему Административному регламенту.</w:t>
      </w:r>
      <w:r>
        <w:rPr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Услуга</w:t>
      </w:r>
      <w:r>
        <w:rPr>
          <w:iCs/>
          <w:color w:val="auto"/>
          <w:sz w:val="28"/>
          <w:szCs w:val="28"/>
        </w:rPr>
        <w:t xml:space="preserve"> до</w:t>
      </w:r>
      <w:r>
        <w:rPr>
          <w:iCs/>
          <w:color w:val="auto"/>
          <w:sz w:val="28"/>
          <w:szCs w:val="28"/>
        </w:rPr>
        <w:t xml:space="preserve">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</w:t>
      </w:r>
      <w:r>
        <w:rPr>
          <w:iCs/>
          <w:color w:val="auto"/>
          <w:sz w:val="28"/>
          <w:szCs w:val="28"/>
        </w:rPr>
        <w:t xml:space="preserve">государственной информационной системе «Единый портал государственных и муниципальных услуг (функций)»</w:t>
      </w:r>
      <w:r>
        <w:rPr>
          <w:iCs/>
          <w:color w:val="auto"/>
          <w:sz w:val="28"/>
          <w:szCs w:val="28"/>
          <w:vertAlign w:val="superscript"/>
        </w:rPr>
        <w:footnoteReference w:id="2"/>
      </w:r>
      <w:r>
        <w:rPr>
          <w:iCs/>
          <w:color w:val="auto"/>
          <w:sz w:val="28"/>
          <w:szCs w:val="28"/>
        </w:rPr>
        <w:t xml:space="preserve"> (далее – Единый портал).</w:t>
      </w:r>
      <w:r>
        <w:rPr>
          <w:iCs/>
          <w:color w:val="auto"/>
          <w:sz w:val="28"/>
          <w:szCs w:val="28"/>
        </w:rPr>
      </w:r>
    </w:p>
    <w:p>
      <w:pPr>
        <w:pStyle w:val="749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II. Стандарт предоставления Услуги</w:t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Наименование Услуги</w:t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Предоставление ежемесячной денежной выплаты отдельным категориям граждан в Новосибирской области.</w:t>
      </w:r>
      <w:r>
        <w:rPr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Наименование органа, предоставляющего Услугу</w:t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Услугу предоставляет 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инистерство труда и социального развития Новосибирской области (далее – Орган власти)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Результат предоставления Услуги</w:t>
      </w:r>
      <w:r>
        <w:rPr>
          <w:b/>
          <w:iCs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При обращении заявителя за предоставлением ежемесячной денежной выплаты отдельным категориям граждан в Новосибирской области результатами предоставления Услуги являются: 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а) решение о предоставлении Услуги (д</w:t>
      </w:r>
      <w:r>
        <w:rPr>
          <w:iCs/>
          <w:color w:val="auto"/>
          <w:sz w:val="28"/>
        </w:rPr>
        <w:t xml:space="preserve">окумент на бумажном носителе и</w:t>
      </w:r>
      <w:r>
        <w:rPr>
          <w:iCs/>
          <w:color w:val="auto"/>
          <w:sz w:val="28"/>
        </w:rPr>
        <w:t xml:space="preserve"> в форме электронного документа);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б) уведомление об отказе в предоставлении Услуги (д</w:t>
      </w:r>
      <w:r>
        <w:rPr>
          <w:iCs/>
          <w:color w:val="auto"/>
          <w:sz w:val="28"/>
        </w:rPr>
        <w:t xml:space="preserve">окумент на бумажном носителе и</w:t>
      </w:r>
      <w:r>
        <w:rPr>
          <w:iCs/>
          <w:color w:val="auto"/>
          <w:sz w:val="28"/>
        </w:rPr>
        <w:t xml:space="preserve"> в форме электронного документа).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При обращении заявителя за изменением способа доставки ежемесячной денежной выплаты, включая изменение реквизитов счета в кредитной организации</w:t>
      </w:r>
      <w:r>
        <w:rPr>
          <w:iCs/>
          <w:color w:val="auto"/>
          <w:sz w:val="28"/>
        </w:rPr>
        <w:t xml:space="preserve">,</w:t>
      </w:r>
      <w:r>
        <w:rPr>
          <w:iCs/>
          <w:color w:val="auto"/>
          <w:sz w:val="28"/>
        </w:rPr>
        <w:t xml:space="preserve"> результатами предоставления Услуги являются: 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а) </w:t>
      </w:r>
      <w:r>
        <w:rPr>
          <w:iCs/>
          <w:color w:val="auto"/>
          <w:sz w:val="28"/>
        </w:rPr>
        <w:t xml:space="preserve">решение о предоставлении Услуги</w:t>
      </w:r>
      <w:r>
        <w:rPr>
          <w:iCs/>
          <w:color w:val="auto"/>
          <w:sz w:val="28"/>
        </w:rPr>
        <w:t xml:space="preserve"> (</w:t>
      </w:r>
      <w:r>
        <w:rPr>
          <w:iCs/>
          <w:color w:val="auto"/>
          <w:sz w:val="28"/>
        </w:rPr>
        <w:t xml:space="preserve">д</w:t>
      </w:r>
      <w:r>
        <w:rPr>
          <w:iCs/>
          <w:color w:val="auto"/>
          <w:sz w:val="28"/>
        </w:rPr>
        <w:t xml:space="preserve">окумент на бумажном носителе и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в форме электронного документа</w:t>
      </w:r>
      <w:r>
        <w:rPr>
          <w:iCs/>
          <w:color w:val="auto"/>
          <w:sz w:val="28"/>
        </w:rPr>
        <w:t xml:space="preserve">)</w:t>
      </w:r>
      <w:r>
        <w:rPr>
          <w:iCs/>
          <w:color w:val="auto"/>
          <w:sz w:val="28"/>
        </w:rPr>
        <w:t xml:space="preserve">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б) решение об</w:t>
      </w:r>
      <w:r>
        <w:rPr>
          <w:iCs/>
          <w:color w:val="auto"/>
          <w:sz w:val="28"/>
        </w:rPr>
        <w:t xml:space="preserve"> отказе в предоставлении Услуги</w:t>
      </w:r>
      <w:r>
        <w:rPr>
          <w:iCs/>
          <w:color w:val="auto"/>
          <w:sz w:val="28"/>
        </w:rPr>
        <w:t xml:space="preserve"> (</w:t>
      </w:r>
      <w:r>
        <w:rPr>
          <w:iCs/>
          <w:color w:val="auto"/>
          <w:sz w:val="28"/>
        </w:rPr>
        <w:t xml:space="preserve">д</w:t>
      </w:r>
      <w:r>
        <w:rPr>
          <w:iCs/>
          <w:color w:val="auto"/>
          <w:sz w:val="28"/>
        </w:rPr>
        <w:t xml:space="preserve">окумент на бумажном носителе и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в форме электронного документа</w:t>
      </w:r>
      <w:r>
        <w:rPr>
          <w:iCs/>
          <w:color w:val="auto"/>
          <w:sz w:val="28"/>
        </w:rPr>
        <w:t xml:space="preserve">)</w:t>
      </w:r>
      <w:r>
        <w:rPr>
          <w:iCs/>
          <w:color w:val="auto"/>
          <w:sz w:val="28"/>
        </w:rPr>
        <w:t xml:space="preserve">.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Результаты предоставления Услуги могут быть получены </w:t>
      </w:r>
      <w:r>
        <w:rPr>
          <w:color w:val="auto"/>
          <w:sz w:val="28"/>
          <w:szCs w:val="28"/>
        </w:rPr>
        <w:t xml:space="preserve">в Органе власти</w:t>
      </w:r>
      <w:r>
        <w:rPr>
          <w:color w:val="auto"/>
          <w:sz w:val="28"/>
          <w:szCs w:val="28"/>
        </w:rPr>
        <w:t xml:space="preserve">, посредством почтовой связи.</w:t>
      </w:r>
      <w:r>
        <w:rPr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  <w:t xml:space="preserve">Срок предоставления Услуги</w:t>
      </w:r>
      <w:r>
        <w:rPr>
          <w:b/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</w:t>
      </w:r>
      <w:r>
        <w:rPr>
          <w:iCs/>
          <w:color w:val="auto"/>
          <w:sz w:val="28"/>
        </w:rPr>
        <w:t xml:space="preserve">10</w:t>
      </w:r>
      <w:r>
        <w:rPr>
          <w:iCs/>
          <w:color w:val="auto"/>
          <w:sz w:val="28"/>
        </w:rPr>
        <w:t xml:space="preserve"> рабочих дней независимо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 категории (признаков) заявителя – при обращении заявителя</w:t>
      </w:r>
      <w:r>
        <w:rPr>
          <w:iCs/>
          <w:color w:val="auto"/>
          <w:sz w:val="28"/>
        </w:rPr>
        <w:t xml:space="preserve"> в Орган власти, в МФЦ, посредством почтовой связи.</w:t>
      </w:r>
      <w:r>
        <w:rPr>
          <w:iCs/>
          <w:color w:val="auto"/>
          <w:sz w:val="28"/>
        </w:rPr>
      </w:r>
    </w:p>
    <w:p>
      <w:pPr>
        <w:pStyle w:val="749"/>
        <w:ind w:left="851" w:right="-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Исчерпывающий </w:t>
      </w:r>
      <w:r>
        <w:rPr>
          <w:b/>
          <w:iCs/>
          <w:color w:val="auto"/>
          <w:sz w:val="28"/>
        </w:rPr>
        <w:t xml:space="preserve">перечень</w:t>
      </w:r>
      <w:r>
        <w:rPr>
          <w:b/>
          <w:color w:val="auto"/>
          <w:sz w:val="28"/>
          <w:szCs w:val="28"/>
        </w:rPr>
        <w:t xml:space="preserve"> оснований для отказа в приеме</w:t>
      </w:r>
      <w:r>
        <w:rPr>
          <w:color w:val="auto"/>
        </w:rPr>
        <w:br/>
      </w:r>
      <w:r>
        <w:rPr>
          <w:b/>
          <w:color w:val="auto"/>
          <w:sz w:val="28"/>
          <w:szCs w:val="28"/>
        </w:rPr>
        <w:t xml:space="preserve">заявления и документов, необходимых для предоставления Услуги</w:t>
      </w:r>
      <w:r>
        <w:rPr>
          <w:b/>
          <w:color w:val="auto"/>
          <w:sz w:val="28"/>
          <w:szCs w:val="28"/>
        </w:rPr>
        <w:t xml:space="preserve">,</w:t>
      </w:r>
      <w:r>
        <w:rPr>
          <w:b/>
          <w:color w:val="auto"/>
          <w:sz w:val="28"/>
          <w:szCs w:val="28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об отказе в приеме заявления и документов, необходимых для предоставления услуги, принимает </w:t>
      </w:r>
      <w:r>
        <w:rPr>
          <w:color w:val="auto"/>
          <w:sz w:val="28"/>
          <w:szCs w:val="28"/>
        </w:rPr>
        <w:t xml:space="preserve">МФЦ </w:t>
      </w:r>
      <w:r>
        <w:rPr>
          <w:color w:val="auto"/>
          <w:sz w:val="28"/>
          <w:szCs w:val="28"/>
        </w:rPr>
        <w:t xml:space="preserve">при наличии следующего основания</w:t>
      </w:r>
      <w:r>
        <w:rPr>
          <w:color w:val="auto"/>
          <w:sz w:val="28"/>
          <w:szCs w:val="28"/>
        </w:rPr>
        <w:t xml:space="preserve"> – </w:t>
      </w:r>
      <w:r>
        <w:rPr>
          <w:iCs/>
          <w:color w:val="auto"/>
          <w:sz w:val="28"/>
        </w:rPr>
        <w:t xml:space="preserve">неустановление</w:t>
      </w:r>
      <w:r>
        <w:rPr>
          <w:iCs/>
          <w:color w:val="auto"/>
          <w:sz w:val="28"/>
        </w:rPr>
        <w:t xml:space="preserve"> личности лица, обратившегося за оказанием услуги (</w:t>
      </w:r>
      <w:r>
        <w:rPr>
          <w:iCs/>
          <w:color w:val="auto"/>
          <w:sz w:val="28"/>
        </w:rPr>
        <w:t xml:space="preserve">непредъявление</w:t>
      </w:r>
      <w:r>
        <w:rPr>
          <w:iCs/>
          <w:color w:val="auto"/>
          <w:sz w:val="28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</w:r>
      <w:r>
        <w:rPr>
          <w:iCs/>
          <w:color w:val="auto"/>
          <w:sz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предусмотрены.</w:t>
      </w:r>
      <w:r>
        <w:rPr>
          <w:bCs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об отказе в предоставлении Услуги принимает Орган власти при наличии следующих оснований: </w:t>
      </w:r>
      <w:r>
        <w:rPr>
          <w:bCs/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б) </w:t>
      </w:r>
      <w:r>
        <w:rPr>
          <w:iCs/>
          <w:color w:val="auto"/>
          <w:sz w:val="28"/>
        </w:rPr>
        <w:t xml:space="preserve">непредставление </w:t>
      </w:r>
      <w:r>
        <w:rPr>
          <w:iCs/>
          <w:color w:val="auto"/>
          <w:sz w:val="28"/>
        </w:rPr>
        <w:t xml:space="preserve">заявления и</w:t>
      </w:r>
      <w:r>
        <w:rPr>
          <w:iCs/>
          <w:color w:val="auto"/>
          <w:sz w:val="28"/>
        </w:rPr>
        <w:t xml:space="preserve"> документов, которые необходимо представить самостоятельно;</w:t>
      </w:r>
      <w:r>
        <w:rPr>
          <w:iCs/>
          <w:color w:val="auto"/>
          <w:sz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в) отсутствие права на ежемесячную </w:t>
      </w:r>
      <w:r>
        <w:rPr>
          <w:iCs/>
          <w:color w:val="auto"/>
          <w:sz w:val="28"/>
        </w:rPr>
        <w:t xml:space="preserve">денежную </w:t>
      </w:r>
      <w:r>
        <w:rPr>
          <w:iCs/>
          <w:color w:val="auto"/>
          <w:sz w:val="28"/>
        </w:rPr>
        <w:t xml:space="preserve">выплату в соответствии с действующим законодательством.</w:t>
      </w:r>
      <w:r>
        <w:rPr>
          <w:iCs/>
          <w:color w:val="auto"/>
          <w:sz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Основания для отказа в приеме заявления и документов, необходимых для предоставления Услуги</w:t>
      </w:r>
      <w:r>
        <w:rPr>
          <w:bCs/>
          <w:color w:val="auto"/>
          <w:sz w:val="28"/>
          <w:szCs w:val="28"/>
        </w:rPr>
        <w:t xml:space="preserve">, </w:t>
      </w:r>
      <w:r>
        <w:rPr>
          <w:bCs/>
          <w:color w:val="auto"/>
          <w:sz w:val="28"/>
          <w:szCs w:val="28"/>
        </w:rPr>
        <w:t xml:space="preserve">основания для отказа в предоставлении Услуги с учетом категории (признаков) заявителя приведены в таблице </w:t>
      </w:r>
      <w:r>
        <w:rPr>
          <w:bCs/>
          <w:color w:val="auto"/>
          <w:sz w:val="28"/>
          <w:szCs w:val="28"/>
        </w:rPr>
        <w:t xml:space="preserve">№ </w:t>
      </w:r>
      <w:r>
        <w:rPr>
          <w:bCs/>
          <w:color w:val="auto"/>
          <w:sz w:val="28"/>
          <w:szCs w:val="28"/>
        </w:rPr>
        <w:t xml:space="preserve">3 приложения к настоящему Административному регламенту. </w:t>
      </w:r>
      <w:r>
        <w:rPr>
          <w:color w:val="auto"/>
          <w:sz w:val="28"/>
          <w:szCs w:val="28"/>
        </w:rPr>
      </w:r>
    </w:p>
    <w:p>
      <w:pPr>
        <w:pStyle w:val="747"/>
        <w:ind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  <w:r>
        <w:rPr>
          <w:color w:val="auto"/>
          <w:sz w:val="28"/>
          <w:szCs w:val="28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25"/>
        <w:ind w:left="0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  <w:outlineLvl w:val="0"/>
      </w:pPr>
      <w:r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Максимальный срок ожидания в очереди при подаче</w:t>
      </w:r>
      <w:r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заявителем</w:t>
      </w:r>
      <w:r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и при</w:t>
      </w:r>
      <w:r>
        <w:rPr>
          <w:rFonts w:eastAsia="Calibri"/>
          <w:b/>
          <w:bCs/>
          <w:color w:val="auto"/>
          <w:sz w:val="28"/>
          <w:szCs w:val="28"/>
          <w:lang w:eastAsia="en-US"/>
        </w:rPr>
      </w:r>
    </w:p>
    <w:p>
      <w:pPr>
        <w:pStyle w:val="725"/>
        <w:ind w:left="0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  <w:outlineLvl w:val="0"/>
      </w:pPr>
      <w:r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получении результата предоставления Услуги</w:t>
      </w:r>
      <w:r>
        <w:rPr>
          <w:rFonts w:eastAsia="Calibri"/>
          <w:b/>
          <w:bCs/>
          <w:color w:val="auto"/>
          <w:sz w:val="28"/>
          <w:szCs w:val="28"/>
          <w:lang w:eastAsia="en-US"/>
        </w:rPr>
      </w:r>
    </w:p>
    <w:p>
      <w:pPr>
        <w:pStyle w:val="725"/>
        <w:ind w:left="0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  <w:outlineLvl w:val="0"/>
      </w:pPr>
      <w:r>
        <w:rPr>
          <w:rFonts w:eastAsia="Calibri"/>
          <w:b/>
          <w:bCs/>
          <w:color w:val="auto"/>
          <w:sz w:val="28"/>
          <w:szCs w:val="28"/>
          <w:lang w:eastAsia="en-US"/>
        </w:rPr>
      </w:r>
      <w:r>
        <w:rPr>
          <w:rFonts w:eastAsia="Calibri"/>
          <w:b/>
          <w:bCs/>
          <w:color w:val="auto"/>
          <w:sz w:val="28"/>
          <w:szCs w:val="28"/>
          <w:lang w:eastAsia="en-US"/>
        </w:rPr>
      </w:r>
    </w:p>
    <w:p>
      <w:pPr>
        <w:pStyle w:val="725"/>
        <w:numPr>
          <w:ilvl w:val="6"/>
          <w:numId w:val="1"/>
        </w:numPr>
        <w:ind w:left="0" w:firstLine="851"/>
        <w:jc w:val="both"/>
        <w:tabs>
          <w:tab w:val="left" w:pos="1276" w:leader="none"/>
        </w:tabs>
        <w:rPr>
          <w:rFonts w:eastAsia="Calibri"/>
          <w:bCs/>
          <w:color w:val="auto"/>
          <w:sz w:val="28"/>
          <w:szCs w:val="28"/>
          <w:lang w:eastAsia="en-US"/>
        </w:rPr>
        <w:outlineLvl w:val="0"/>
      </w:pPr>
      <w:r>
        <w:rPr>
          <w:rFonts w:eastAsia="Calibri"/>
          <w:color w:val="auto"/>
          <w:sz w:val="28"/>
          <w:szCs w:val="28"/>
          <w:lang w:eastAsia="en-US"/>
        </w:rPr>
        <w:t xml:space="preserve">Максимальный срок ожидания в очереди при подаче заявления о предоставлении Услуги и при получении результата предоставления Услуги заявителем не должен превышать 15 минут.</w:t>
      </w:r>
      <w:r>
        <w:rPr>
          <w:rFonts w:eastAsia="Calibri"/>
          <w:bCs/>
          <w:color w:val="auto"/>
          <w:sz w:val="28"/>
          <w:szCs w:val="28"/>
          <w:lang w:eastAsia="en-US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Срок регистрации заявления заявителя о предоставлении Услуги</w:t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firstLine="851"/>
        <w:jc w:val="both"/>
        <w:tabs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auto"/>
          <w:sz w:val="28"/>
          <w:szCs w:val="28"/>
        </w:rPr>
      </w:r>
    </w:p>
    <w:p>
      <w:pPr>
        <w:pStyle w:val="747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 Органе власти – </w:t>
      </w:r>
      <w:r>
        <w:rPr>
          <w:iCs/>
          <w:color w:val="auto"/>
          <w:sz w:val="28"/>
        </w:rPr>
        <w:t xml:space="preserve">1 рабочий день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</w:p>
    <w:p>
      <w:pPr>
        <w:pStyle w:val="747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в МФЦ – </w:t>
      </w:r>
      <w:r>
        <w:rPr>
          <w:iCs/>
          <w:color w:val="auto"/>
          <w:sz w:val="28"/>
        </w:rPr>
        <w:t xml:space="preserve">1 рабочий день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</w:p>
    <w:p>
      <w:pPr>
        <w:pStyle w:val="747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посредством почтовой связи – </w:t>
      </w:r>
      <w:r>
        <w:rPr>
          <w:iCs/>
          <w:color w:val="auto"/>
          <w:sz w:val="28"/>
        </w:rPr>
        <w:t xml:space="preserve">1 рабочий день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</w:p>
    <w:p>
      <w:pPr>
        <w:pStyle w:val="761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r>
        <w:rPr>
          <w:color w:val="auto"/>
          <w:sz w:val="28"/>
          <w:szCs w:val="28"/>
        </w:rPr>
        <w:t xml:space="preserve">посредством Единого портала – </w:t>
      </w:r>
      <w:r>
        <w:rPr>
          <w:iCs/>
          <w:color w:val="auto"/>
          <w:sz w:val="28"/>
        </w:rPr>
        <w:t xml:space="preserve">1 рабочий день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3180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</w:r>
    </w:p>
    <w:p>
      <w:pPr>
        <w:pStyle w:val="756"/>
        <w:ind w:right="-1"/>
        <w:jc w:val="center"/>
        <w:tabs>
          <w:tab w:val="left" w:pos="284" w:leader="none"/>
        </w:tabs>
        <w:rPr>
          <w:b/>
          <w:bCs/>
          <w:color w:val="auto"/>
        </w:rPr>
      </w:pPr>
      <w:r>
        <w:rPr>
          <w:b/>
          <w:bCs/>
          <w:color w:val="auto"/>
          <w:sz w:val="28"/>
          <w:szCs w:val="28"/>
        </w:rPr>
        <w:t xml:space="preserve">Требования к помещениям, в которых предоставляется Услуга</w:t>
      </w:r>
      <w:r>
        <w:rPr>
          <w:b/>
          <w:bCs/>
          <w:color w:val="auto"/>
        </w:rPr>
      </w:r>
    </w:p>
    <w:p>
      <w:pPr>
        <w:pStyle w:val="75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756"/>
        <w:numPr>
          <w:ilvl w:val="6"/>
          <w:numId w:val="1"/>
        </w:numPr>
        <w:ind w:left="0" w:right="-1" w:firstLine="851"/>
        <w:jc w:val="both"/>
        <w:tabs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  <w:r>
        <w:rPr>
          <w:color w:val="auto"/>
          <w:sz w:val="28"/>
          <w:szCs w:val="28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3180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Показатели доступности и качества Услуги</w:t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Показатели доступности и качества Услуги размещены на официальном сайте</w:t>
      </w:r>
      <w:r>
        <w:rPr>
          <w:color w:val="auto"/>
          <w:sz w:val="28"/>
          <w:szCs w:val="28"/>
        </w:rPr>
        <w:t xml:space="preserve"> Орган</w:t>
      </w:r>
      <w:r>
        <w:rPr>
          <w:color w:val="auto"/>
          <w:sz w:val="28"/>
          <w:szCs w:val="28"/>
        </w:rPr>
        <w:t xml:space="preserve">а</w:t>
      </w:r>
      <w:r>
        <w:rPr>
          <w:color w:val="auto"/>
          <w:sz w:val="28"/>
          <w:szCs w:val="28"/>
        </w:rPr>
        <w:t xml:space="preserve"> власти </w:t>
      </w:r>
      <w:r>
        <w:rPr>
          <w:color w:val="auto"/>
          <w:sz w:val="28"/>
          <w:szCs w:val="28"/>
        </w:rPr>
        <w:t xml:space="preserve">в сети «Интернет», а также на Едином портале.</w:t>
      </w:r>
      <w:r>
        <w:rPr>
          <w:color w:val="auto"/>
          <w:sz w:val="28"/>
          <w:szCs w:val="28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60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Иные требования к предоставлению Услуги</w:t>
      </w:r>
      <w:r>
        <w:rPr>
          <w:b/>
          <w:sz w:val="28"/>
          <w:szCs w:val="28"/>
        </w:rPr>
        <w:t xml:space="preserve">, </w:t>
      </w:r>
      <w:r>
        <w:rPr>
          <w:rFonts w:eastAsia="Calibri"/>
          <w:b/>
          <w:color w:val="auto"/>
          <w:sz w:val="28"/>
          <w:szCs w:val="24"/>
          <w:lang w:eastAsia="en-US"/>
        </w:rPr>
        <w:t xml:space="preserve">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  <w:r>
        <w:rPr>
          <w:b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  <w:r>
        <w:rPr>
          <w:color w:val="auto"/>
          <w:sz w:val="28"/>
          <w:szCs w:val="28"/>
        </w:rPr>
      </w:r>
    </w:p>
    <w:p>
      <w:pPr>
        <w:pStyle w:val="749"/>
        <w:numPr>
          <w:ilvl w:val="6"/>
          <w:numId w:val="1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Информационные системы, используемые для предоставления Услуги: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федеральная государственная информационная система «Единая система межведомственного электронного взаимодействия»;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Единый портал.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>
        <w:rPr>
          <w:color w:val="000000" w:themeColor="text1"/>
          <w:sz w:val="28"/>
          <w:szCs w:val="28"/>
        </w:rPr>
        <w:t xml:space="preserve">государственная информационная система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p>
      <w:pPr>
        <w:pStyle w:val="755"/>
        <w:numPr>
          <w:ilvl w:val="0"/>
          <w:numId w:val="4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Возмож</w:t>
      </w:r>
      <w:r>
        <w:rPr>
          <w:color w:val="auto"/>
          <w:sz w:val="28"/>
          <w:szCs w:val="28"/>
        </w:rPr>
        <w:t xml:space="preserve">ность получения Услуги в МФЦ </w:t>
      </w:r>
      <w:r>
        <w:rPr>
          <w:color w:val="auto"/>
          <w:sz w:val="28"/>
          <w:szCs w:val="28"/>
        </w:rPr>
        <w:t xml:space="preserve">предусмотрена.</w:t>
      </w:r>
      <w:r>
        <w:rPr>
          <w:color w:val="auto"/>
          <w:sz w:val="28"/>
          <w:szCs w:val="28"/>
        </w:rPr>
        <w:t xml:space="preserve"> </w:t>
      </w:r>
      <w:r>
        <w:rPr>
          <w:rFonts w:ascii="TimesNewRoman" w:hAnsi="TimesNewRoman"/>
          <w:color w:val="auto"/>
          <w:sz w:val="28"/>
          <w:szCs w:val="28"/>
          <w:shd w:val="clear" w:color="auto" w:fill="ffffff"/>
        </w:rPr>
        <w:t xml:space="preserve">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  <w:r>
        <w:rPr>
          <w:color w:val="auto"/>
          <w:sz w:val="28"/>
          <w:szCs w:val="28"/>
        </w:rPr>
      </w:r>
    </w:p>
    <w:p>
      <w:pPr>
        <w:pStyle w:val="757"/>
        <w:numPr>
          <w:ilvl w:val="0"/>
          <w:numId w:val="4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выдачи заявителю результата предоставления Услуги в МФЦ не предусмотрена.</w:t>
      </w:r>
      <w:r>
        <w:rPr>
          <w:color w:val="auto"/>
          <w:sz w:val="28"/>
          <w:szCs w:val="28"/>
        </w:rPr>
      </w:r>
    </w:p>
    <w:p>
      <w:pPr>
        <w:pStyle w:val="757"/>
        <w:numPr>
          <w:ilvl w:val="0"/>
          <w:numId w:val="4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</w:t>
      </w:r>
      <w:r>
        <w:rPr>
          <w:color w:val="auto"/>
          <w:sz w:val="28"/>
          <w:szCs w:val="28"/>
        </w:rPr>
        <w:t xml:space="preserve">предоставления Услуги в отношении несовершеннолетнего не предусмотрена.</w:t>
      </w:r>
      <w:r>
        <w:rPr>
          <w:color w:val="auto"/>
          <w:sz w:val="28"/>
          <w:szCs w:val="28"/>
        </w:rPr>
      </w:r>
    </w:p>
    <w:p>
      <w:pPr>
        <w:pStyle w:val="749"/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Исчерпывающий перечень документов, </w:t>
      </w:r>
      <w:sdt>
        <w:sdtPr>
          <w15:appearance w15:val="boundingBox"/>
          <w:id w:val="-667085156"/>
          <w:showingPlcHdr w:val="true"/>
          <w:tag w:val="goog_rdk_26"/>
          <w:rPr>
            <w:b/>
            <w:color w:val="auto"/>
            <w:sz w:val="28"/>
            <w:szCs w:val="28"/>
          </w:rPr>
        </w:sdtPr>
        <w:sdtContent>
          <w:r>
            <w:t xml:space="preserve">    </w:t>
          </w:r>
        </w:sdtContent>
      </w:sdt>
      <w:r/>
      <w:sdt>
        <w:sdtPr>
          <w15:appearance w15:val="boundingBox"/>
          <w:id w:val="-1507136934"/>
          <w:showingPlcHdr w:val="true"/>
          <w:tag w:val="goog_rdk_27"/>
          <w:rPr>
            <w:b/>
            <w:color w:val="auto"/>
            <w:sz w:val="28"/>
            <w:szCs w:val="28"/>
          </w:rPr>
        </w:sdtPr>
        <w:sdtContent>
          <w:r>
            <w:t xml:space="preserve">    </w:t>
          </w:r>
        </w:sdtContent>
      </w:sdt>
      <w:r/>
      <w:sdt>
        <w:sdtPr>
          <w15:appearance w15:val="boundingBox"/>
          <w:id w:val="-51779007"/>
          <w:showingPlcHdr w:val="true"/>
          <w:tag w:val="goog_rdk_28"/>
          <w:rPr>
            <w:b/>
            <w:color w:val="auto"/>
            <w:sz w:val="28"/>
            <w:szCs w:val="28"/>
          </w:rPr>
        </w:sdtPr>
        <w:sdtContent>
          <w:r>
            <w:t xml:space="preserve">    </w:t>
          </w:r>
        </w:sdtContent>
      </w:sdt>
      <w:r/>
      <w:sdt>
        <w:sdtPr>
          <w15:appearance w15:val="boundingBox"/>
          <w:id w:val="702297071"/>
          <w:showingPlcHdr w:val="true"/>
          <w:tag w:val="goog_rdk_29"/>
          <w:rPr>
            <w:b/>
            <w:color w:val="auto"/>
            <w:sz w:val="28"/>
            <w:szCs w:val="28"/>
          </w:rPr>
        </w:sdtPr>
        <w:sdtContent>
          <w:r>
            <w:t xml:space="preserve">    </w:t>
          </w:r>
        </w:sdtContent>
      </w:sdt>
      <w:r/>
      <w:sdt>
        <w:sdtPr>
          <w15:appearance w15:val="boundingBox"/>
          <w:id w:val="-1312707403"/>
          <w:showingPlcHdr w:val="true"/>
          <w:tag w:val="goog_rdk_30"/>
          <w:rPr>
            <w:b/>
            <w:color w:val="auto"/>
            <w:sz w:val="28"/>
            <w:szCs w:val="28"/>
          </w:rPr>
        </w:sdtPr>
        <w:sdtContent>
          <w:r>
            <w:t xml:space="preserve">    </w:t>
          </w:r>
        </w:sdtContent>
      </w:sdt>
      <w:r>
        <w:rPr>
          <w:b/>
          <w:color w:val="auto"/>
          <w:sz w:val="28"/>
          <w:szCs w:val="28"/>
        </w:rPr>
        <w:t xml:space="preserve">необходимых для предоставления Услуги</w:t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0"/>
          <w:numId w:val="4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таблице </w:t>
      </w:r>
      <w:r>
        <w:rPr>
          <w:color w:val="auto"/>
          <w:sz w:val="28"/>
          <w:szCs w:val="28"/>
        </w:rPr>
        <w:t xml:space="preserve">№ </w:t>
      </w:r>
      <w:r>
        <w:rPr>
          <w:color w:val="auto"/>
          <w:sz w:val="28"/>
          <w:szCs w:val="28"/>
        </w:rPr>
        <w:t xml:space="preserve">2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auto"/>
          <w:sz w:val="28"/>
          <w:szCs w:val="28"/>
        </w:rPr>
      </w:r>
    </w:p>
    <w:p>
      <w:pPr>
        <w:pStyle w:val="749"/>
        <w:numPr>
          <w:ilvl w:val="0"/>
          <w:numId w:val="2"/>
        </w:numPr>
        <w:ind w:left="0" w:firstLine="851"/>
        <w:jc w:val="both"/>
        <w:tabs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</w:t>
      </w:r>
      <w:r>
        <w:rPr>
          <w:color w:val="auto"/>
          <w:sz w:val="28"/>
          <w:szCs w:val="28"/>
        </w:rPr>
        <w:t xml:space="preserve">жен представить самостоятельно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</w:p>
    <w:p>
      <w:pPr>
        <w:pStyle w:val="749"/>
        <w:numPr>
          <w:ilvl w:val="0"/>
          <w:numId w:val="2"/>
        </w:numPr>
        <w:ind w:left="0" w:firstLine="851"/>
        <w:jc w:val="both"/>
        <w:tabs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исчерпывающий перечень документов, необ</w:t>
      </w:r>
      <w:r>
        <w:rPr>
          <w:color w:val="auto"/>
          <w:sz w:val="28"/>
          <w:szCs w:val="28"/>
        </w:rPr>
        <w:t xml:space="preserve">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</w:t>
      </w:r>
      <w:r>
        <w:rPr>
          <w:color w:val="auto"/>
          <w:sz w:val="28"/>
          <w:szCs w:val="28"/>
        </w:rPr>
        <w:t xml:space="preserve">информационного взаимодействия</w:t>
      </w:r>
      <w:r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</w:r>
    </w:p>
    <w:p>
      <w:pPr>
        <w:pStyle w:val="749"/>
        <w:numPr>
          <w:ilvl w:val="0"/>
          <w:numId w:val="4"/>
        </w:numPr>
        <w:ind w:left="0" w:firstLine="851"/>
        <w:jc w:val="both"/>
        <w:tabs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Документы, необходимые для пред</w:t>
      </w:r>
      <w:r>
        <w:rPr>
          <w:color w:val="auto"/>
          <w:sz w:val="28"/>
          <w:szCs w:val="28"/>
        </w:rPr>
        <w:t xml:space="preserve">оставления Услуги, и нормативный правовой акт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утверждающий форму </w:t>
      </w:r>
      <w:r>
        <w:rPr>
          <w:color w:val="auto"/>
          <w:sz w:val="28"/>
          <w:szCs w:val="28"/>
        </w:rPr>
        <w:t xml:space="preserve">заявления, необходим</w:t>
      </w:r>
      <w:r>
        <w:rPr>
          <w:color w:val="auto"/>
          <w:sz w:val="28"/>
          <w:szCs w:val="28"/>
        </w:rPr>
        <w:t xml:space="preserve">ого</w:t>
      </w:r>
      <w:r>
        <w:rPr>
          <w:color w:val="auto"/>
          <w:sz w:val="28"/>
          <w:szCs w:val="28"/>
        </w:rPr>
        <w:t xml:space="preserve"> для предоставления Услуги, приведены в приложении к настоящему Административному регламенту.</w:t>
      </w:r>
      <w:r>
        <w:rPr>
          <w:color w:val="auto"/>
          <w:sz w:val="28"/>
          <w:szCs w:val="28"/>
        </w:rPr>
      </w:r>
    </w:p>
    <w:p>
      <w:pPr>
        <w:pStyle w:val="749"/>
        <w:ind w:left="851"/>
        <w:jc w:val="both"/>
        <w:tabs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7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 xml:space="preserve">III</w:t>
      </w:r>
      <w:r>
        <w:rPr>
          <w:b/>
          <w:color w:val="auto"/>
          <w:sz w:val="28"/>
          <w:szCs w:val="28"/>
        </w:rPr>
        <w:t xml:space="preserve">. Состав, последовательность и сроки выполнения административных процедур</w:t>
      </w:r>
      <w:r>
        <w:rPr>
          <w:b/>
          <w:color w:val="auto"/>
          <w:sz w:val="28"/>
          <w:szCs w:val="28"/>
        </w:rPr>
      </w:r>
    </w:p>
    <w:p>
      <w:pPr>
        <w:pStyle w:val="747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Перечень осуществляемых при предоставлении Услуги административных процедур</w:t>
      </w:r>
      <w:r>
        <w:rPr>
          <w:b/>
          <w:color w:val="auto"/>
          <w:sz w:val="28"/>
          <w:szCs w:val="28"/>
        </w:rPr>
      </w:r>
    </w:p>
    <w:p>
      <w:pPr>
        <w:pStyle w:val="7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749"/>
        <w:numPr>
          <w:ilvl w:val="0"/>
          <w:numId w:val="4"/>
        </w:numPr>
        <w:ind w:left="0" w:right="-1" w:firstLine="851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рофилирование заявителя;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 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рием заявления и документов и (или) информации, необходимых для предоставления Услуги;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ежведомственное информационное взаимодействие;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ринятие решения о предоставлении (об отказе в предоставлении) Услуги;</w:t>
      </w:r>
      <w:r>
        <w:rPr>
          <w:color w:val="auto"/>
          <w:sz w:val="28"/>
          <w:szCs w:val="28"/>
        </w:rPr>
      </w:r>
    </w:p>
    <w:p>
      <w:pPr>
        <w:pStyle w:val="74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редоставление результата Услуги.</w:t>
      </w:r>
      <w:r>
        <w:rPr>
          <w:color w:val="auto"/>
          <w:sz w:val="28"/>
          <w:szCs w:val="28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Упреждающий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 xml:space="preserve">проактивный</w:t>
      </w:r>
      <w:r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 xml:space="preserve">режим</w:t>
      </w:r>
      <w:r>
        <w:rPr>
          <w:b/>
          <w:bCs/>
          <w:sz w:val="28"/>
          <w:szCs w:val="28"/>
        </w:rPr>
      </w:r>
    </w:p>
    <w:p>
      <w:pPr>
        <w:pStyle w:val="725"/>
        <w:numPr>
          <w:ilvl w:val="0"/>
          <w:numId w:val="7"/>
        </w:numPr>
        <w:ind w:firstLine="851"/>
        <w:jc w:val="both"/>
        <w:rPr>
          <w:rFonts w:eastAsia="Yu Mincho"/>
          <w:sz w:val="28"/>
          <w:szCs w:val="28"/>
        </w:rPr>
      </w:pPr>
      <w:r>
        <w:rPr>
          <w:rFonts w:eastAsia="Yu Mincho"/>
          <w:sz w:val="28"/>
          <w:szCs w:val="28"/>
        </w:rPr>
        <w:t xml:space="preserve">Услуга может быть предоставлена в упреждающем (</w:t>
      </w:r>
      <w:r>
        <w:rPr>
          <w:rFonts w:eastAsia="Yu Mincho"/>
          <w:sz w:val="28"/>
          <w:szCs w:val="28"/>
        </w:rPr>
        <w:t xml:space="preserve">проактивном</w:t>
      </w:r>
      <w:r>
        <w:rPr>
          <w:rFonts w:eastAsia="Yu Mincho"/>
          <w:sz w:val="28"/>
          <w:szCs w:val="28"/>
        </w:rPr>
        <w:t xml:space="preserve">) режиме </w:t>
      </w:r>
      <w:r>
        <w:rPr>
          <w:sz w:val="28"/>
          <w:szCs w:val="28"/>
        </w:rPr>
        <w:t xml:space="preserve">в случае принятия решения </w:t>
      </w:r>
      <w:r>
        <w:rPr>
          <w:sz w:val="28"/>
          <w:szCs w:val="28"/>
        </w:rPr>
        <w:t xml:space="preserve">о присвоении гражданину звания «Ветеран труда», почетного звания «</w:t>
      </w:r>
      <w:r>
        <w:rPr>
          <w:sz w:val="28"/>
          <w:szCs w:val="28"/>
        </w:rPr>
        <w:t xml:space="preserve">Вете</w:t>
      </w:r>
      <w:r>
        <w:rPr>
          <w:sz w:val="28"/>
          <w:szCs w:val="28"/>
        </w:rPr>
        <w:t xml:space="preserve">ран труда Новосибирской области», о выдаче удостоверения «</w:t>
      </w:r>
      <w:r>
        <w:rPr>
          <w:sz w:val="28"/>
          <w:szCs w:val="28"/>
        </w:rPr>
        <w:t xml:space="preserve">Ветеран Великой Отечественно</w:t>
      </w:r>
      <w:r>
        <w:rPr>
          <w:sz w:val="28"/>
          <w:szCs w:val="28"/>
        </w:rPr>
        <w:t xml:space="preserve">й войны»</w:t>
      </w:r>
      <w:r>
        <w:rPr>
          <w:sz w:val="28"/>
          <w:szCs w:val="28"/>
        </w:rPr>
        <w:t xml:space="preserve"> на территории Новосибирской области</w:t>
      </w:r>
      <w:r>
        <w:rPr>
          <w:sz w:val="28"/>
          <w:szCs w:val="28"/>
        </w:rPr>
        <w:t xml:space="preserve">.</w:t>
      </w:r>
      <w:r>
        <w:rPr>
          <w:rFonts w:eastAsia="Yu Mincho"/>
          <w:sz w:val="28"/>
          <w:szCs w:val="28"/>
        </w:rPr>
      </w:r>
    </w:p>
    <w:p>
      <w:pPr>
        <w:pStyle w:val="725"/>
        <w:numPr>
          <w:ilvl w:val="0"/>
          <w:numId w:val="7"/>
        </w:numPr>
        <w:ind w:firstLine="709"/>
        <w:jc w:val="both"/>
        <w:rPr>
          <w:rFonts w:eastAsia="Yu Mincho"/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варианта Услуги составляет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со дня присвоения гражданину звания «Ветеран труда», почетного звания «Ветеран труда Новосибирской области», принятия решения о выдаче удостоверения «Ветеран Великой Отечественной войны»</w:t>
      </w:r>
      <w:r>
        <w:rPr>
          <w:sz w:val="28"/>
          <w:szCs w:val="28"/>
        </w:rPr>
        <w:t xml:space="preserve"> на территории Новосибирской области</w:t>
      </w:r>
      <w:r>
        <w:rPr>
          <w:sz w:val="28"/>
          <w:szCs w:val="28"/>
        </w:rPr>
        <w:t xml:space="preserve">.</w:t>
      </w:r>
      <w:r>
        <w:rPr>
          <w:rFonts w:eastAsia="Yu Mincho"/>
          <w:sz w:val="28"/>
          <w:szCs w:val="28"/>
        </w:rPr>
      </w:r>
    </w:p>
    <w:p>
      <w:pPr>
        <w:pStyle w:val="725"/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предварительной подачи заявителем запроса о предоставлении ему Услуги в упреждающем (</w:t>
      </w:r>
      <w:r>
        <w:rPr>
          <w:sz w:val="28"/>
          <w:szCs w:val="28"/>
        </w:rPr>
        <w:t xml:space="preserve">проактивном</w:t>
      </w:r>
      <w:r>
        <w:rPr>
          <w:sz w:val="28"/>
          <w:szCs w:val="28"/>
        </w:rPr>
        <w:t xml:space="preserve">) режиме</w:t>
      </w:r>
      <w:r>
        <w:rPr>
          <w:sz w:val="28"/>
          <w:szCs w:val="28"/>
        </w:rPr>
        <w:t xml:space="preserve"> предусмотрена. </w:t>
      </w:r>
      <w:r>
        <w:rPr>
          <w:sz w:val="28"/>
          <w:szCs w:val="28"/>
        </w:rPr>
      </w:r>
    </w:p>
    <w:p>
      <w:pPr>
        <w:pStyle w:val="72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озможность подачи заявителем</w:t>
      </w:r>
      <w:r>
        <w:rPr>
          <w:sz w:val="28"/>
          <w:szCs w:val="28"/>
        </w:rPr>
        <w:t xml:space="preserve"> запроса о предоставлении Услуги после осуществления Органом власти мероприятий в соответствии с пунктом 1 части 1 статьи 7.3 Федерального закона от 27.07.2010 № 210-ФЗ «Об организации предоставления государственных и муниципальных услуг» не предусмотрена.</w:t>
      </w:r>
      <w:r>
        <w:rPr>
          <w:sz w:val="28"/>
          <w:szCs w:val="28"/>
        </w:rPr>
      </w:r>
    </w:p>
    <w:p>
      <w:pPr>
        <w:pStyle w:val="72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30. </w:t>
      </w:r>
      <w:r>
        <w:rPr>
          <w:rFonts w:eastAsia="Yu Mincho"/>
          <w:sz w:val="28"/>
          <w:szCs w:val="28"/>
        </w:rPr>
        <w:t xml:space="preserve">Основанием для начала предоставления Услуги в упреждающем (</w:t>
      </w:r>
      <w:r>
        <w:rPr>
          <w:rFonts w:eastAsia="Yu Mincho"/>
          <w:sz w:val="28"/>
          <w:szCs w:val="28"/>
        </w:rPr>
        <w:t xml:space="preserve">проактивном</w:t>
      </w:r>
      <w:r>
        <w:rPr>
          <w:rFonts w:eastAsia="Yu Mincho"/>
          <w:sz w:val="28"/>
          <w:szCs w:val="28"/>
        </w:rPr>
        <w:t xml:space="preserve">) режиме является поступление в </w:t>
      </w:r>
      <w:r>
        <w:rPr>
          <w:sz w:val="28"/>
          <w:szCs w:val="28"/>
        </w:rPr>
        <w:t xml:space="preserve">государственную информационную систему</w:t>
      </w:r>
      <w:r>
        <w:rPr>
          <w:sz w:val="28"/>
          <w:szCs w:val="28"/>
        </w:rPr>
        <w:t xml:space="preserve">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</w:t>
      </w:r>
      <w:r>
        <w:rPr>
          <w:rFonts w:eastAsia="Yu Mincho"/>
          <w:sz w:val="28"/>
          <w:szCs w:val="28"/>
        </w:rPr>
        <w:t xml:space="preserve"> </w:t>
      </w:r>
      <w:r>
        <w:rPr>
          <w:rFonts w:eastAsia="Yu Mincho"/>
          <w:sz w:val="28"/>
          <w:szCs w:val="28"/>
        </w:rPr>
        <w:t xml:space="preserve">сведений</w:t>
      </w:r>
      <w:r>
        <w:rPr>
          <w:rFonts w:eastAsia="Yu Mincho"/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присвоении гражданину звания «Ветеран труда», почетного звания «Ветеран труда Новосибирской области», о выдаче удостоверения «Ветеран Великой Отечественной войны» на территории Новосибирской области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759"/>
        <w:numPr>
          <w:ilvl w:val="0"/>
          <w:numId w:val="8"/>
        </w:numPr>
        <w:ind w:firstLine="709"/>
        <w:jc w:val="both"/>
        <w:spacing w:before="0" w:beforeAutospacing="0" w:after="0" w:afterAutospacing="0" w:line="288" w:lineRule="atLeast"/>
        <w:rPr>
          <w:rFonts w:eastAsia="Yu Mincho"/>
          <w:sz w:val="28"/>
          <w:szCs w:val="28"/>
        </w:rPr>
      </w:pPr>
      <w:r>
        <w:rPr>
          <w:rFonts w:eastAsia="Yu Mincho"/>
          <w:sz w:val="28"/>
          <w:szCs w:val="28"/>
        </w:rPr>
        <w:t xml:space="preserve">Административные процедуры предоставления Услуги осуществляются в следующем порядке: </w:t>
      </w: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принятие решения о предоставлении (об отказе в предоставлении) Услуги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rFonts w:eastAsia="Yu Mincho"/>
          <w:sz w:val="28"/>
          <w:szCs w:val="28"/>
        </w:rPr>
      </w:r>
    </w:p>
    <w:p>
      <w:pPr>
        <w:pStyle w:val="747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7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 xml:space="preserve">IV</w:t>
      </w:r>
      <w:r>
        <w:rPr>
          <w:b/>
          <w:color w:val="auto"/>
          <w:sz w:val="28"/>
          <w:szCs w:val="28"/>
        </w:rPr>
        <w:t xml:space="preserve">. Способы информирования заявителя об изменении статуса рассмотрения заявления</w:t>
      </w:r>
      <w:r>
        <w:rPr>
          <w:b/>
          <w:color w:val="auto"/>
          <w:sz w:val="28"/>
          <w:szCs w:val="28"/>
        </w:rPr>
      </w:r>
    </w:p>
    <w:p>
      <w:pPr>
        <w:pStyle w:val="747"/>
        <w:ind w:firstLine="851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749"/>
        <w:numPr>
          <w:ilvl w:val="0"/>
          <w:numId w:val="8"/>
        </w:numPr>
        <w:ind w:right="-1" w:firstLine="709"/>
        <w:jc w:val="both"/>
        <w:tabs>
          <w:tab w:val="left" w:pos="284" w:leader="none"/>
          <w:tab w:val="left" w:pos="1276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 </w:t>
      </w:r>
      <w:r>
        <w:rPr>
          <w:color w:val="auto"/>
          <w:sz w:val="28"/>
          <w:szCs w:val="28"/>
        </w:rPr>
        <w:t xml:space="preserve">посредством Единого портала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</w:p>
    <w:p>
      <w:pPr>
        <w:pStyle w:val="747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ageBreakBefore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1"/>
        <w:gridCol w:w="9114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pStyle w:val="758"/>
              <w:ind w:left="5708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Приложение</w:t>
            </w:r>
            <w:r>
              <w:rPr>
                <w:sz w:val="28"/>
                <w:szCs w:val="28"/>
              </w:rPr>
            </w:r>
          </w:p>
          <w:p>
            <w:pPr>
              <w:pStyle w:val="758"/>
              <w:ind w:left="5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Административному регламенту, утвержденному приказом </w:t>
            </w:r>
            <w:r>
              <w:rPr>
                <w:sz w:val="28"/>
                <w:szCs w:val="28"/>
              </w:rPr>
              <w:t xml:space="preserve">министерства труда и социального развития</w:t>
            </w:r>
            <w:r>
              <w:rPr>
                <w:sz w:val="28"/>
                <w:szCs w:val="28"/>
              </w:rPr>
              <w:t xml:space="preserve"> Новосибирской области от_______№____________</w:t>
            </w:r>
            <w:r>
              <w:rPr>
                <w:sz w:val="28"/>
                <w:szCs w:val="28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center"/>
        <w:rPr>
          <w:color w:val="auto"/>
        </w:rPr>
      </w:pPr>
      <w:r>
        <w:rPr>
          <w:b/>
          <w:color w:val="auto"/>
          <w:sz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</w:t>
      </w:r>
      <w:r>
        <w:rPr>
          <w:b/>
          <w:color w:val="auto"/>
          <w:sz w:val="28"/>
        </w:rPr>
        <w:t xml:space="preserve">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</w:t>
      </w:r>
      <w:r>
        <w:rPr>
          <w:b/>
          <w:color w:val="auto"/>
          <w:sz w:val="28"/>
        </w:rPr>
        <w:t xml:space="preserve">СУДАРСТВЕННОЙ УСЛУГИ ИЛИ ОТКАЗА</w:t>
      </w:r>
      <w:r>
        <w:rPr>
          <w:b/>
          <w:color w:val="auto"/>
          <w:sz w:val="28"/>
        </w:rPr>
        <w:t xml:space="preserve"> В ПРЕДОСТАВЛЕНИИ ГОСУДАРСТВЕННОЙ </w:t>
      </w:r>
      <w:r>
        <w:rPr>
          <w:b/>
          <w:color w:val="auto"/>
          <w:sz w:val="28"/>
        </w:rPr>
        <w:t xml:space="preserve">УСЛУГИ</w:t>
      </w:r>
      <w:r>
        <w:rPr>
          <w:color w:val="auto"/>
        </w:rPr>
      </w:r>
    </w:p>
    <w:p>
      <w:pPr>
        <w:pStyle w:val="698"/>
        <w:numPr>
          <w:ilvl w:val="0"/>
          <w:numId w:val="3"/>
        </w:numPr>
        <w:jc w:val="center"/>
        <w:rPr>
          <w:color w:val="auto"/>
        </w:rPr>
      </w:pPr>
      <w:r>
        <w:rPr>
          <w:b/>
          <w:color w:val="auto"/>
          <w:sz w:val="28"/>
        </w:rPr>
        <w:t xml:space="preserve">Перечень условных обозначений и сокращений</w:t>
      </w:r>
      <w:r>
        <w:rPr>
          <w:color w:val="auto"/>
        </w:rPr>
      </w:r>
    </w:p>
    <w:p>
      <w:pPr>
        <w:ind w:left="720" w:hanging="29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Условные обозначения: </w:t>
      </w:r>
      <w:r>
        <w:rPr>
          <w:color w:val="auto"/>
          <w:sz w:val="20"/>
        </w:rPr>
      </w:r>
    </w:p>
    <w:p>
      <w:pPr>
        <w:ind w:left="720" w:hanging="294"/>
        <w:spacing w:line="276" w:lineRule="auto"/>
        <w:rPr>
          <w:color w:val="auto"/>
          <w:sz w:val="8"/>
        </w:rPr>
      </w:pPr>
      <w:r>
        <w:rPr>
          <w:color w:val="auto"/>
          <w:sz w:val="8"/>
        </w:rPr>
      </w:r>
      <w:r>
        <w:rPr>
          <w:color w:val="auto"/>
          <w:sz w:val="8"/>
        </w:rPr>
      </w:r>
    </w:p>
    <w:p>
      <w:pPr>
        <w:numPr>
          <w:ilvl w:val="0"/>
          <w:numId w:val="5"/>
        </w:numPr>
        <w:ind w:hanging="28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Почта - посредством почтовой связи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hanging="28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ОГВ– министерство труда и социального развития Новосибирской области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hanging="28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МФЦ - многофункциональный центр предоставления государственных и муниципальных услуг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hanging="28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К (з) - копия документа, заверенная в порядке, установленном законодательством Российской Федерации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hanging="284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ОД - оригинал документа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left="0" w:firstLine="426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Кк (п) - 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left="0" w:firstLine="426"/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ЕСИА- единая система идентификации и аутентификации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spacing w:line="276" w:lineRule="auto"/>
        <w:rPr>
          <w:color w:val="auto"/>
          <w:sz w:val="20"/>
        </w:rPr>
      </w:pPr>
      <w:r>
        <w:rPr>
          <w:color w:val="auto"/>
          <w:sz w:val="20"/>
        </w:rPr>
        <w:t xml:space="preserve">ПП ЭП - подписан простой электронной подписью</w:t>
      </w:r>
      <w:r>
        <w:rPr>
          <w:color w:val="auto"/>
          <w:sz w:val="20"/>
        </w:rPr>
      </w:r>
    </w:p>
    <w:p>
      <w:pPr>
        <w:numPr>
          <w:ilvl w:val="0"/>
          <w:numId w:val="5"/>
        </w:numPr>
        <w:ind w:left="0" w:firstLine="360"/>
        <w:spacing w:line="276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ЕПГУ - </w:t>
      </w:r>
      <w:r>
        <w:rPr>
          <w:iCs/>
          <w:color w:val="000000" w:themeColor="text1"/>
          <w:sz w:val="20"/>
        </w:rPr>
        <w:t xml:space="preserve">федеральная государственная информационная система «Единый портал государственных и муниципальных услуг (функций)»</w:t>
      </w:r>
      <w:r>
        <w:rPr>
          <w:color w:val="000000" w:themeColor="text1"/>
          <w:sz w:val="20"/>
        </w:rPr>
      </w:r>
    </w:p>
    <w:p>
      <w:pPr>
        <w:pStyle w:val="698"/>
        <w:numPr>
          <w:ilvl w:val="0"/>
          <w:numId w:val="3"/>
        </w:numPr>
        <w:jc w:val="center"/>
        <w:rPr>
          <w:color w:val="auto"/>
        </w:rPr>
      </w:pPr>
      <w:r>
        <w:rPr>
          <w:b/>
          <w:color w:val="auto"/>
          <w:sz w:val="28"/>
        </w:rPr>
        <w:t xml:space="preserve">Идентификаторы категорий (признаков) заявителей</w:t>
      </w:r>
      <w:r>
        <w:rPr>
          <w:color w:val="auto"/>
        </w:rPr>
      </w:r>
    </w:p>
    <w:p>
      <w:pPr>
        <w:rPr>
          <w:color w:val="auto"/>
        </w:rPr>
      </w:pPr>
      <w:r>
        <w:rPr>
          <w:b/>
          <w:color w:val="auto"/>
        </w:rPr>
        <w:t xml:space="preserve">Таблица </w:t>
      </w:r>
      <w:r>
        <w:rPr>
          <w:b/>
          <w:color w:val="auto"/>
        </w:rPr>
        <w:t xml:space="preserve">№ </w:t>
      </w:r>
      <w:r>
        <w:rPr>
          <w:b/>
          <w:color w:val="auto"/>
        </w:rPr>
        <w:t xml:space="preserve">1</w:t>
      </w:r>
      <w:r>
        <w:rPr>
          <w:color w:val="auto"/>
        </w:rPr>
      </w:r>
    </w:p>
    <w:tbl>
      <w:tblPr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426"/>
        <w:gridCol w:w="2409"/>
        <w:gridCol w:w="5245"/>
        <w:gridCol w:w="1835"/>
      </w:tblGrid>
      <w:tr>
        <w:tblPrEx/>
        <w:trPr>
          <w:tblHeader/>
        </w:trPr>
        <w:tc>
          <w:tcPr>
            <w:shd w:val="clear" w:color="auto" w:fill="d9e2f3" w:themeFill="accent1" w:themeFillTint="33"/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№</w:t>
            </w:r>
            <w:r>
              <w:rPr>
                <w:color w:val="auto"/>
              </w:rPr>
            </w:r>
          </w:p>
        </w:tc>
        <w:tc>
          <w:tcPr>
            <w:shd w:val="clear" w:color="auto" w:fill="d9e2f3" w:themeFill="accent1" w:themeFillTint="33"/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Результат предоставления Услуги</w:t>
            </w:r>
            <w:r>
              <w:rPr>
                <w:color w:val="auto"/>
              </w:rPr>
            </w:r>
          </w:p>
        </w:tc>
        <w:tc>
          <w:tcPr>
            <w:shd w:val="clear" w:color="auto" w:fill="d9e2f3" w:themeFill="accent1" w:themeFillTint="33"/>
            <w:tcW w:w="524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Наименования отдельного признака заявителя</w:t>
            </w:r>
            <w:r>
              <w:rPr>
                <w:color w:val="auto"/>
              </w:rPr>
            </w:r>
          </w:p>
        </w:tc>
        <w:tc>
          <w:tcPr>
            <w:shd w:val="clear" w:color="auto" w:fill="d9e2f3" w:themeFill="accent1" w:themeFillTint="33"/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Предоставление ежемесячной денежной выплаты отдельным категориям граждан в Новосибирской области/отказ в </w:t>
            </w:r>
            <w:r>
              <w:rPr>
                <w:color w:val="auto"/>
                <w:sz w:val="20"/>
              </w:rPr>
              <w:t xml:space="preserve">предоставлении У</w:t>
            </w:r>
            <w:r>
              <w:rPr>
                <w:color w:val="auto"/>
                <w:sz w:val="20"/>
              </w:rPr>
              <w:t xml:space="preserve">слуги</w:t>
            </w:r>
            <w:r>
              <w:rPr>
                <w:color w:val="auto"/>
                <w:sz w:val="20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iCs/>
                <w:color w:val="auto"/>
                <w:sz w:val="20"/>
              </w:rPr>
              <w:t xml:space="preserve">ветераны труда Новосибирской области, </w:t>
            </w:r>
            <w:r>
              <w:rPr>
                <w:color w:val="auto"/>
                <w:sz w:val="20"/>
              </w:rPr>
              <w:t xml:space="preserve">постоянно проживающие на территории Новосибирской области, а также ветераны труд</w:t>
            </w:r>
            <w:r>
              <w:rPr>
                <w:color w:val="auto"/>
                <w:sz w:val="20"/>
              </w:rPr>
              <w:t xml:space="preserve">а Новосибирской области, имеющие, но не реализовавшие</w:t>
            </w:r>
            <w:r>
              <w:rPr>
                <w:color w:val="auto"/>
                <w:sz w:val="20"/>
              </w:rPr>
              <w:t xml:space="preserve"> право на ежемесячную денежную выплату в соответствии с Законом Новосибирской области от 29.12.2004 № 253-ОЗ «О мерах социальной поддержки отдельных категорий граждан, проживающих в Новосибирской области»</w:t>
            </w:r>
            <w:r>
              <w:rPr>
                <w:color w:val="auto"/>
                <w:sz w:val="20"/>
              </w:rPr>
              <w:t xml:space="preserve">,</w:t>
            </w:r>
            <w:r>
              <w:rPr>
                <w:color w:val="auto"/>
                <w:sz w:val="20"/>
              </w:rPr>
              <w:t xml:space="preserve"> в случае смены ими места жительства в пределах Российской Федерации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</w:t>
            </w:r>
            <w:r>
              <w:rPr>
                <w:b/>
                <w:color w:val="auto"/>
                <w:sz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2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лица, подвергшиеся политическим репрессиям и признанные реабилитированными</w:t>
            </w:r>
            <w:r>
              <w:rPr>
                <w:color w:val="auto"/>
                <w:sz w:val="20"/>
              </w:rPr>
              <w:t xml:space="preserve"> либо </w:t>
            </w:r>
            <w:r>
              <w:rPr>
                <w:color w:val="auto"/>
                <w:sz w:val="20"/>
              </w:rPr>
              <w:t xml:space="preserve">лица, признанные пострадавшими от политических репрессий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color w:val="auto"/>
                <w:sz w:val="20"/>
              </w:rPr>
              <w:t xml:space="preserve">постоянно проживающие на территории Новосибирской области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2А</w:t>
            </w:r>
            <w:r>
              <w:rPr>
                <w:b/>
                <w:color w:val="auto"/>
                <w:sz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3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ветераны труда, а также граждане, приравненные к ним, по состоянию на 31 декабря 2004 года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color w:val="auto"/>
                <w:sz w:val="20"/>
              </w:rPr>
              <w:t xml:space="preserve">постоянно проживающие на территории Новосибирской области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3А</w:t>
            </w:r>
            <w:r>
              <w:rPr>
                <w:b/>
                <w:color w:val="auto"/>
                <w:sz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4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лица, проработав</w:t>
            </w:r>
            <w:r>
              <w:rPr>
                <w:color w:val="auto"/>
                <w:sz w:val="20"/>
              </w:rPr>
              <w:t xml:space="preserve">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color w:val="auto"/>
                <w:sz w:val="20"/>
              </w:rPr>
              <w:t xml:space="preserve">постоянно проживающие на территории Новосибирской области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4А</w:t>
            </w:r>
            <w:r>
              <w:rPr>
                <w:b/>
                <w:color w:val="auto"/>
                <w:sz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5</w:t>
            </w:r>
            <w:r>
              <w:rPr>
                <w:b/>
                <w:color w:val="auto"/>
              </w:rPr>
            </w:r>
          </w:p>
        </w:tc>
        <w:tc>
          <w:tcPr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уполно</w:t>
            </w:r>
            <w:r>
              <w:rPr>
                <w:color w:val="auto"/>
                <w:sz w:val="20"/>
              </w:rPr>
              <w:t xml:space="preserve">моченный представитель</w:t>
            </w:r>
            <w:r>
              <w:rPr>
                <w:color w:val="auto"/>
                <w:sz w:val="20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5А</w:t>
            </w:r>
            <w:r>
              <w:rPr>
                <w:b/>
                <w:color w:val="auto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6</w:t>
            </w:r>
            <w:r>
              <w:rPr>
                <w:b/>
                <w:color w:val="auto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Изменение способа доставки ежемесячной денежной выплаты, включая изменение реквизитов счета в кредитной организации</w:t>
            </w:r>
            <w:r>
              <w:rPr>
                <w:color w:val="auto"/>
                <w:sz w:val="20"/>
              </w:rPr>
              <w:t xml:space="preserve">/</w:t>
            </w:r>
            <w:r>
              <w:rPr>
                <w:color w:val="auto"/>
                <w:sz w:val="20"/>
              </w:rPr>
              <w:t xml:space="preserve"> отказ в предоставлении Услуги</w:t>
            </w:r>
            <w:r>
              <w:rPr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заявитель, получающий ежемесячную денежную выплату в соответствии с </w:t>
            </w:r>
            <w:r>
              <w:rPr>
                <w:color w:val="auto"/>
                <w:sz w:val="20"/>
              </w:rPr>
              <w:t xml:space="preserve">постановлением Администрации Новосибирской области от 27.06.2005 № 44-п «Об утверждении Порядка предоставления ежемесячных денежных выплат отдельным категориям граждан в Новосибирской области»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1Б</w:t>
            </w:r>
            <w:r>
              <w:rPr>
                <w:b/>
                <w:color w:val="auto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7</w:t>
            </w:r>
            <w:r>
              <w:rPr>
                <w:b/>
                <w:color w:val="auto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уполно</w:t>
            </w:r>
            <w:r>
              <w:rPr>
                <w:color w:val="auto"/>
                <w:sz w:val="20"/>
              </w:rPr>
              <w:t xml:space="preserve">моченный представитель</w:t>
            </w:r>
            <w:r>
              <w:rPr>
                <w:color w:val="auto"/>
              </w:rPr>
            </w:r>
          </w:p>
        </w:tc>
        <w:tc>
          <w:tcPr>
            <w:tcW w:w="1835" w:type="dxa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2</w:t>
            </w:r>
            <w:r>
              <w:rPr>
                <w:b/>
                <w:color w:val="auto"/>
                <w:sz w:val="20"/>
              </w:rPr>
              <w:t xml:space="preserve">Б</w:t>
            </w:r>
            <w:r>
              <w:rPr>
                <w:b/>
                <w:color w:val="auto"/>
              </w:rPr>
            </w:r>
          </w:p>
        </w:tc>
      </w:tr>
    </w:tbl>
    <w:p>
      <w:pPr>
        <w:pStyle w:val="698"/>
        <w:numPr>
          <w:ilvl w:val="0"/>
          <w:numId w:val="3"/>
        </w:numPr>
        <w:jc w:val="center"/>
        <w:rPr>
          <w:color w:val="auto"/>
        </w:rPr>
      </w:pPr>
      <w:r>
        <w:rPr>
          <w:b/>
          <w:color w:val="auto"/>
          <w:sz w:val="28"/>
        </w:rPr>
        <w:t xml:space="preserve">Исчерпывающий перечень документов, необходимых</w:t>
      </w:r>
      <w:r>
        <w:rPr>
          <w:b/>
          <w:color w:val="auto"/>
          <w:sz w:val="28"/>
        </w:rPr>
        <w:br/>
        <w:t xml:space="preserve">для предоставления Услуги</w:t>
      </w:r>
      <w:r>
        <w:rPr>
          <w:color w:val="auto"/>
        </w:rPr>
      </w:r>
    </w:p>
    <w:p>
      <w:pPr>
        <w:rPr>
          <w:color w:val="auto"/>
        </w:rPr>
      </w:pPr>
      <w:r>
        <w:rPr>
          <w:b/>
          <w:color w:val="auto"/>
        </w:rPr>
        <w:t xml:space="preserve">Таблица </w:t>
      </w:r>
      <w:r>
        <w:rPr>
          <w:b/>
          <w:color w:val="auto"/>
        </w:rPr>
        <w:t xml:space="preserve">№ </w:t>
      </w:r>
      <w:r>
        <w:rPr>
          <w:b/>
          <w:color w:val="auto"/>
        </w:rPr>
        <w:t xml:space="preserve">2</w:t>
      </w:r>
      <w:r>
        <w:rPr>
          <w:color w:val="auto"/>
        </w:rPr>
      </w:r>
    </w:p>
    <w:tbl>
      <w:tblPr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718"/>
        <w:gridCol w:w="2874"/>
        <w:gridCol w:w="3364"/>
        <w:gridCol w:w="2959"/>
      </w:tblGrid>
      <w:tr>
        <w:tblPrEx/>
        <w:trPr>
          <w:tblHeader/>
        </w:trPr>
        <w:tc>
          <w:tcPr>
            <w:shd w:val="clear" w:color="auto" w:fill="d9e1f2"/>
            <w:tcW w:w="7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№</w:t>
            </w:r>
            <w:r>
              <w:rPr>
                <w:color w:val="auto"/>
              </w:rPr>
            </w:r>
          </w:p>
        </w:tc>
        <w:tc>
          <w:tcPr>
            <w:shd w:val="clear" w:color="auto" w:fill="d9e1f2"/>
            <w:tcW w:w="294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auto"/>
              </w:rPr>
            </w:r>
          </w:p>
        </w:tc>
        <w:tc>
          <w:tcPr>
            <w:shd w:val="clear" w:color="auto" w:fill="d9e1f2"/>
            <w:tcW w:w="320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color w:val="auto"/>
              </w:rPr>
            </w:r>
          </w:p>
        </w:tc>
        <w:tc>
          <w:tcPr>
            <w:shd w:val="clear" w:color="auto" w:fill="d9e1f2"/>
            <w:tcW w:w="303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Способ предоставления, требования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i/>
                <w:color w:val="auto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/>
                <w:i/>
                <w:color w:val="auto"/>
                <w:sz w:val="20"/>
              </w:rPr>
              <w:t xml:space="preserve"> (в зависимости от конкретной жизненной ситуации)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1</w:t>
            </w:r>
            <w:r>
              <w:rPr>
                <w:color w:val="auto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</w:t>
            </w:r>
            <w:r>
              <w:rPr>
                <w:b/>
                <w:color w:val="auto"/>
                <w:sz w:val="20"/>
                <w:lang w:val="en-US"/>
              </w:rPr>
              <w:t xml:space="preserve">-</w:t>
            </w:r>
            <w:r>
              <w:rPr>
                <w:b/>
                <w:color w:val="auto"/>
                <w:sz w:val="20"/>
              </w:rPr>
              <w:t xml:space="preserve">5А, </w:t>
            </w:r>
            <w:r>
              <w:rPr>
                <w:b/>
                <w:color w:val="auto"/>
                <w:sz w:val="20"/>
              </w:rPr>
              <w:t xml:space="preserve">1Б</w:t>
            </w:r>
            <w:r>
              <w:rPr>
                <w:b/>
                <w:color w:val="auto"/>
                <w:sz w:val="20"/>
              </w:rPr>
              <w:t xml:space="preserve">, 2</w:t>
            </w:r>
            <w:r>
              <w:rPr>
                <w:b/>
                <w:color w:val="auto"/>
                <w:sz w:val="20"/>
              </w:rPr>
              <w:t xml:space="preserve">Б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паспорт гражданина Российской Федерации (иной документ, удостоверяющий личность заявителя)</w:t>
            </w:r>
            <w:r>
              <w:rPr>
                <w:color w:val="auto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color w:val="000000" w:themeColor="text1"/>
              </w:rPr>
            </w:pPr>
            <w:r>
              <w:rPr>
                <w:b/>
                <w:sz w:val="20"/>
              </w:rPr>
              <w:t xml:space="preserve">ЕСИА =&gt; ЕПГУ</w:t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2</w:t>
            </w:r>
            <w:r>
              <w:rPr>
                <w:color w:val="auto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1А-5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решение суда об установлении факта проживания по определенному адресу</w:t>
            </w:r>
            <w:r>
              <w:rPr>
                <w:color w:val="auto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3</w:t>
            </w:r>
            <w:r>
              <w:rPr>
                <w:color w:val="auto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5</w:t>
            </w:r>
            <w:r>
              <w:rPr>
                <w:b/>
                <w:color w:val="auto"/>
                <w:sz w:val="20"/>
              </w:rPr>
              <w:t xml:space="preserve">А, </w:t>
            </w:r>
            <w:r>
              <w:rPr>
                <w:b/>
                <w:color w:val="auto"/>
                <w:sz w:val="20"/>
              </w:rPr>
              <w:t xml:space="preserve">2</w:t>
            </w:r>
            <w:r>
              <w:rPr>
                <w:b/>
                <w:color w:val="auto"/>
                <w:sz w:val="20"/>
              </w:rPr>
              <w:t xml:space="preserve">Б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доверенность, подтверждающая полномочия представителя заявителя</w:t>
            </w:r>
            <w:r>
              <w:rPr>
                <w:color w:val="auto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4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2А, 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справка о признании лицом</w:t>
            </w:r>
            <w:r>
              <w:rPr>
                <w:b/>
                <w:sz w:val="20"/>
                <w:szCs w:val="28"/>
              </w:rPr>
              <w:t xml:space="preserve">,</w:t>
            </w:r>
            <w:r>
              <w:rPr>
                <w:b/>
                <w:sz w:val="20"/>
                <w:szCs w:val="28"/>
              </w:rPr>
              <w:t xml:space="preserve"> подвергшимся полит</w:t>
            </w:r>
            <w:r>
              <w:rPr>
                <w:b/>
                <w:sz w:val="20"/>
                <w:szCs w:val="28"/>
              </w:rPr>
              <w:t xml:space="preserve">ическим репрессиям и признанным реабилитированным</w:t>
            </w:r>
            <w:r>
              <w:rPr>
                <w:b/>
                <w:sz w:val="20"/>
                <w:szCs w:val="28"/>
              </w:rPr>
              <w:t xml:space="preserve"> либо</w:t>
            </w:r>
            <w:r>
              <w:rPr>
                <w:b/>
                <w:sz w:val="20"/>
                <w:szCs w:val="28"/>
              </w:rPr>
              <w:t xml:space="preserve"> лицом, </w:t>
            </w:r>
            <w:r>
              <w:rPr>
                <w:b/>
                <w:sz w:val="20"/>
                <w:szCs w:val="28"/>
              </w:rPr>
              <w:t xml:space="preserve">пострадавшим от политических репрессий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highlight w:val="green"/>
              </w:rPr>
            </w:pPr>
            <w:r>
              <w:rPr>
                <w:b/>
                <w:color w:val="auto"/>
                <w:sz w:val="20"/>
              </w:rPr>
              <w:t xml:space="preserve">5</w:t>
            </w:r>
            <w:r>
              <w:rPr>
                <w:b/>
                <w:color w:val="auto"/>
                <w:highlight w:val="green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1А, 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удостоверение «Ветеран труда Новосибирской области»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 w:val="20"/>
                <w:szCs w:val="24"/>
              </w:rPr>
              <w:t xml:space="preserve">пред</w:t>
            </w:r>
            <w:r>
              <w:rPr>
                <w:color w:val="auto"/>
                <w:sz w:val="20"/>
                <w:szCs w:val="24"/>
              </w:rPr>
              <w:t xml:space="preserve">ставляется в </w:t>
            </w:r>
            <w:r>
              <w:rPr>
                <w:color w:val="auto"/>
                <w:sz w:val="20"/>
                <w:szCs w:val="24"/>
              </w:rPr>
              <w:t xml:space="preserve">отношении  ветеранов</w:t>
            </w:r>
            <w:r>
              <w:rPr>
                <w:color w:val="auto"/>
                <w:sz w:val="20"/>
                <w:szCs w:val="24"/>
              </w:rPr>
              <w:t xml:space="preserve"> труда Новосибирской области имеющих, но не </w:t>
            </w:r>
            <w:r>
              <w:rPr>
                <w:color w:val="auto"/>
                <w:sz w:val="20"/>
                <w:szCs w:val="24"/>
              </w:rPr>
              <w:t xml:space="preserve">реализовавших</w:t>
            </w:r>
            <w:r>
              <w:rPr>
                <w:color w:val="auto"/>
                <w:sz w:val="20"/>
                <w:szCs w:val="24"/>
              </w:rPr>
              <w:t xml:space="preserve"> до 01.01.2020 свое право на </w:t>
            </w:r>
            <w:r>
              <w:rPr>
                <w:color w:val="auto"/>
                <w:sz w:val="20"/>
                <w:szCs w:val="24"/>
              </w:rPr>
              <w:t xml:space="preserve">Услугу </w:t>
            </w:r>
            <w:r>
              <w:rPr>
                <w:color w:val="auto"/>
                <w:sz w:val="20"/>
                <w:szCs w:val="24"/>
              </w:rPr>
              <w:t xml:space="preserve">в соответствии с Законом Новосибирской </w:t>
            </w:r>
            <w:r>
              <w:rPr>
                <w:color w:val="auto"/>
                <w:sz w:val="20"/>
                <w:szCs w:val="24"/>
              </w:rPr>
              <w:t xml:space="preserve">области от 29.12.2004 № 253-ОЗ «</w:t>
            </w:r>
            <w:r>
              <w:rPr>
                <w:color w:val="auto"/>
                <w:sz w:val="20"/>
                <w:szCs w:val="24"/>
              </w:rPr>
              <w:t xml:space="preserve">О мерах социальной поддержки отдельных категорий граждан, прож</w:t>
            </w:r>
            <w:r>
              <w:rPr>
                <w:color w:val="auto"/>
                <w:sz w:val="20"/>
                <w:szCs w:val="24"/>
              </w:rPr>
              <w:t xml:space="preserve">ивающих в Новосибирской области»</w:t>
            </w:r>
            <w:r>
              <w:rPr>
                <w:color w:val="auto"/>
                <w:sz w:val="20"/>
                <w:szCs w:val="24"/>
              </w:rPr>
              <w:t xml:space="preserve">, в случае смены ими места жительства в пределах Российской Федерации</w:t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6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3</w:t>
            </w:r>
            <w:r>
              <w:rPr>
                <w:b/>
                <w:color w:val="auto"/>
                <w:sz w:val="20"/>
              </w:rPr>
              <w:t xml:space="preserve">А, 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contextualSpacing/>
              <w:jc w:val="both"/>
              <w:spacing w:after="16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удостоверение «Ветеран военной службы»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представляется в отношении граждан, приравненных</w:t>
            </w:r>
            <w:r>
              <w:rPr>
                <w:color w:val="auto"/>
                <w:szCs w:val="24"/>
              </w:rPr>
              <w:t xml:space="preserve"> </w:t>
            </w:r>
            <w:r>
              <w:rPr>
                <w:sz w:val="20"/>
              </w:rPr>
              <w:t xml:space="preserve">к ветеранам труда</w:t>
            </w:r>
            <w:r>
              <w:rPr>
                <w:sz w:val="20"/>
              </w:rPr>
              <w:t xml:space="preserve"> по состоянию на 31.12. 2004</w:t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7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4А, 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contextualSpacing/>
              <w:jc w:val="both"/>
              <w:spacing w:after="16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удостоверение ветерана Великой Отечественной войны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rPr>
                <w:color w:val="auto"/>
                <w:szCs w:val="24"/>
              </w:rPr>
            </w:pPr>
            <w:r>
              <w:rPr>
                <w:sz w:val="20"/>
              </w:rPr>
              <w:t xml:space="preserve">представляется в случае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  <w:t xml:space="preserve"> если удостоверение выдано за пределами Новосибирской области</w:t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8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3А, 5А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contextualSpacing/>
              <w:jc w:val="both"/>
              <w:spacing w:after="16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удостоверение «Ветеран труда»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представляется в случае</w:t>
            </w:r>
            <w:r>
              <w:rPr>
                <w:sz w:val="20"/>
              </w:rPr>
              <w:t xml:space="preserve">,</w:t>
            </w:r>
            <w:bookmarkStart w:id="0" w:name="_GoBack"/>
            <w:r/>
            <w:bookmarkEnd w:id="0"/>
            <w:r>
              <w:rPr>
                <w:sz w:val="20"/>
              </w:rPr>
              <w:t xml:space="preserve"> если удостоверение выдано за пределами Новосибирской области</w:t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9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4А, 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pStyle w:val="759"/>
              <w:jc w:val="both"/>
              <w:spacing w:before="0" w:beforeAutospacing="0" w:after="0" w:afterAutospacing="0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 xml:space="preserve">удостоверение о праве на льготы, выданное в соответствии с постановлением Совета М</w:t>
            </w:r>
            <w:r>
              <w:rPr>
                <w:b/>
                <w:color w:val="000000"/>
                <w:sz w:val="20"/>
                <w:szCs w:val="28"/>
              </w:rPr>
              <w:t xml:space="preserve">инистров СССР</w:t>
            </w:r>
            <w:r>
              <w:rPr>
                <w:b/>
                <w:color w:val="000000"/>
                <w:sz w:val="20"/>
                <w:szCs w:val="28"/>
              </w:rPr>
              <w:t xml:space="preserve">,</w:t>
            </w:r>
            <w:r>
              <w:rPr>
                <w:b/>
                <w:color w:val="000000"/>
                <w:sz w:val="20"/>
                <w:szCs w:val="28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</w:rPr>
              <w:t xml:space="preserve">Всесоюзного центрального совета профессиональных союзов</w:t>
            </w:r>
            <w:r>
              <w:rPr>
                <w:b/>
                <w:color w:val="000000"/>
                <w:sz w:val="20"/>
                <w:szCs w:val="28"/>
              </w:rPr>
            </w:r>
          </w:p>
          <w:p>
            <w:pPr>
              <w:contextualSpacing/>
              <w:jc w:val="both"/>
              <w:spacing w:after="16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 </w:t>
            </w:r>
            <w:r>
              <w:rPr>
                <w:b/>
                <w:sz w:val="20"/>
                <w:szCs w:val="28"/>
              </w:rPr>
              <w:t xml:space="preserve">от 12.05.1988</w:t>
            </w:r>
            <w:r>
              <w:rPr>
                <w:b/>
                <w:sz w:val="20"/>
                <w:szCs w:val="28"/>
              </w:rPr>
              <w:t xml:space="preserve"> № 621 «О дополнительных мерах по улучшению условий жизни ветеранов войны и труда»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представляется в случае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  <w:t xml:space="preserve"> если </w:t>
            </w:r>
            <w:r>
              <w:rPr>
                <w:sz w:val="20"/>
              </w:rPr>
              <w:t xml:space="preserve">удостоверение</w:t>
            </w:r>
            <w:r>
              <w:rPr>
                <w:sz w:val="20"/>
              </w:rPr>
              <w:t xml:space="preserve"> выдан</w:t>
            </w:r>
            <w:r>
              <w:rPr>
                <w:sz w:val="20"/>
              </w:rPr>
              <w:t xml:space="preserve">о</w:t>
            </w:r>
            <w:r>
              <w:rPr>
                <w:sz w:val="20"/>
              </w:rPr>
              <w:t xml:space="preserve"> за пределами Новосибирской области</w:t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i/>
                <w:color w:val="auto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b/>
                <w:color w:val="auto"/>
                <w:sz w:val="20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highlight w:val="green"/>
              </w:rPr>
            </w:pPr>
            <w:r>
              <w:rPr>
                <w:b/>
                <w:color w:val="auto"/>
                <w:sz w:val="20"/>
              </w:rPr>
              <w:t xml:space="preserve">10</w:t>
            </w:r>
            <w:r>
              <w:rPr>
                <w:b/>
                <w:color w:val="auto"/>
                <w:highlight w:val="green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1А-5А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пенсионное удостоверение</w:t>
            </w:r>
            <w:r>
              <w:rPr>
                <w:color w:val="auto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  <w:p>
            <w:pPr>
              <w:pStyle w:val="759"/>
              <w:jc w:val="both"/>
              <w:spacing w:before="0" w:beforeAutospacing="0" w:after="0" w:afterAutospacing="0"/>
            </w:pPr>
            <w:r>
              <w:rPr>
                <w:sz w:val="20"/>
              </w:rPr>
              <w:t xml:space="preserve">предоставляется в отношении граждан, вышедших</w:t>
            </w:r>
            <w:r>
              <w:rPr>
                <w:sz w:val="20"/>
              </w:rPr>
              <w:t xml:space="preserve"> на пенсию</w:t>
            </w:r>
            <w:r/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11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1А-5</w:t>
            </w:r>
            <w:r>
              <w:rPr>
                <w:b/>
                <w:color w:val="auto"/>
                <w:sz w:val="20"/>
              </w:rPr>
              <w:t xml:space="preserve">А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свидетельство о регистрации по месту пребывания</w:t>
            </w:r>
            <w:r>
              <w:rPr>
                <w:color w:val="auto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  <w:szCs w:val="28"/>
              </w:rPr>
              <w:t xml:space="preserve"> </w:t>
            </w:r>
            <w:r>
              <w:rPr>
                <w:b/>
                <w:sz w:val="20"/>
                <w:szCs w:val="28"/>
              </w:rPr>
            </w:r>
          </w:p>
        </w:tc>
      </w:tr>
      <w:tr>
        <w:tblPrEx/>
        <w:trPr/>
        <w:tc>
          <w:tcPr>
            <w:tcW w:w="736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12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2944" w:type="dxa"/>
            <w:textDirection w:val="lrTb"/>
            <w:noWrap w:val="false"/>
          </w:tcPr>
          <w:p>
            <w:pPr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5А, </w:t>
            </w:r>
            <w:r>
              <w:rPr>
                <w:b/>
                <w:color w:val="auto"/>
                <w:sz w:val="20"/>
              </w:rPr>
              <w:t xml:space="preserve">2Б</w:t>
            </w:r>
            <w:r>
              <w:rPr>
                <w:b/>
                <w:color w:val="auto"/>
                <w:sz w:val="20"/>
              </w:rPr>
            </w:r>
          </w:p>
        </w:tc>
        <w:tc>
          <w:tcPr>
            <w:tcW w:w="3203" w:type="dxa"/>
            <w:textDirection w:val="lrTb"/>
            <w:noWrap w:val="false"/>
          </w:tcPr>
          <w:p>
            <w:pPr>
              <w:contextualSpacing/>
              <w:jc w:val="both"/>
              <w:spacing w:after="160"/>
              <w:rPr>
                <w:b/>
                <w:sz w:val="20"/>
                <w:szCs w:val="28"/>
              </w:rPr>
            </w:pPr>
            <w:r>
              <w:rPr>
                <w:b/>
                <w:sz w:val="20"/>
              </w:rPr>
              <w:t xml:space="preserve">акт органа опеки и попечительства о назначении опекуна (попечителя)</w:t>
            </w:r>
            <w:r>
              <w:rPr>
                <w:b/>
                <w:sz w:val="20"/>
                <w:szCs w:val="28"/>
              </w:rPr>
            </w:r>
          </w:p>
        </w:tc>
        <w:tc>
          <w:tcPr>
            <w:tcW w:w="3032" w:type="dxa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 (з) =&gt; Почта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b/>
                <w:sz w:val="20"/>
              </w:rPr>
            </w:r>
          </w:p>
        </w:tc>
      </w:tr>
    </w:tbl>
    <w:p>
      <w:pPr>
        <w:pStyle w:val="698"/>
        <w:numPr>
          <w:ilvl w:val="0"/>
          <w:numId w:val="3"/>
        </w:numPr>
        <w:jc w:val="center"/>
        <w:rPr>
          <w:color w:val="auto"/>
        </w:rPr>
      </w:pPr>
      <w:r>
        <w:rPr>
          <w:b/>
          <w:color w:val="auto"/>
          <w:sz w:val="28"/>
        </w:rPr>
        <w:t xml:space="preserve">Исчерпывающий перечень оснований</w:t>
      </w:r>
      <w:r>
        <w:rPr>
          <w:b/>
          <w:color w:val="auto"/>
          <w:sz w:val="28"/>
        </w:rPr>
        <w:br/>
        <w:t xml:space="preserve">для отказа в приеме заявления и документов, необходимых</w:t>
      </w:r>
      <w:r>
        <w:rPr>
          <w:b/>
          <w:color w:val="auto"/>
          <w:sz w:val="28"/>
        </w:rPr>
        <w:br/>
        <w:t xml:space="preserve">для предоставления Услуги, оснований для приостановления</w:t>
      </w:r>
      <w:r>
        <w:rPr>
          <w:b/>
          <w:color w:val="auto"/>
          <w:sz w:val="28"/>
        </w:rPr>
        <w:br/>
        <w:t xml:space="preserve">предоставления Услуги или отказа в предоставлении Услуги</w:t>
      </w:r>
      <w:r>
        <w:rPr>
          <w:color w:val="auto"/>
        </w:rPr>
      </w:r>
    </w:p>
    <w:p>
      <w:pPr>
        <w:rPr>
          <w:color w:val="auto"/>
        </w:rPr>
      </w:pPr>
      <w:r>
        <w:rPr>
          <w:b/>
          <w:color w:val="auto"/>
        </w:rPr>
        <w:t xml:space="preserve">Таблица </w:t>
      </w:r>
      <w:r>
        <w:rPr>
          <w:b/>
          <w:color w:val="auto"/>
        </w:rPr>
        <w:t xml:space="preserve">№ </w:t>
      </w:r>
      <w:r>
        <w:rPr>
          <w:b/>
          <w:color w:val="auto"/>
        </w:rPr>
        <w:t xml:space="preserve">3</w:t>
      </w:r>
      <w:r>
        <w:rPr>
          <w:color w:val="auto"/>
        </w:rPr>
      </w:r>
    </w:p>
    <w:tbl>
      <w:tblPr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5085"/>
        <w:gridCol w:w="4830"/>
      </w:tblGrid>
      <w:tr>
        <w:tblPrEx/>
        <w:trPr/>
        <w:tc>
          <w:tcPr>
            <w:gridSpan w:val="2"/>
            <w:shd w:val="clear" w:color="auto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при обращении в МФЦ – </w:t>
            </w:r>
            <w:r>
              <w:rPr>
                <w:color w:val="auto"/>
                <w:sz w:val="20"/>
              </w:rPr>
              <w:t xml:space="preserve">не</w:t>
            </w:r>
            <w:r>
              <w:rPr>
                <w:color w:val="auto"/>
                <w:sz w:val="20"/>
              </w:rPr>
              <w:t xml:space="preserve">установление</w:t>
            </w:r>
            <w:r>
              <w:rPr>
                <w:color w:val="auto"/>
                <w:sz w:val="20"/>
              </w:rPr>
              <w:t xml:space="preserve"> личности</w:t>
            </w:r>
            <w:r>
              <w:rPr>
                <w:color w:val="auto"/>
                <w:sz w:val="20"/>
              </w:rPr>
              <w:t xml:space="preserve"> лица, обратившегося за оказанием услуги (</w:t>
            </w:r>
            <w:r>
              <w:rPr>
                <w:color w:val="auto"/>
                <w:sz w:val="20"/>
              </w:rPr>
              <w:t xml:space="preserve">не</w:t>
            </w:r>
            <w:r>
              <w:rPr>
                <w:color w:val="auto"/>
                <w:sz w:val="20"/>
              </w:rPr>
              <w:t xml:space="preserve">предъявлен</w:t>
            </w:r>
            <w:r>
              <w:rPr>
                <w:color w:val="auto"/>
                <w:sz w:val="20"/>
              </w:rPr>
              <w:t xml:space="preserve">ие</w:t>
            </w:r>
            <w:r>
              <w:rPr>
                <w:color w:val="auto"/>
                <w:sz w:val="20"/>
              </w:rPr>
              <w:t xml:space="preserve"> данным лицом документ</w:t>
            </w:r>
            <w:r>
              <w:rPr>
                <w:color w:val="auto"/>
                <w:sz w:val="20"/>
              </w:rPr>
              <w:t xml:space="preserve">а, удостоверяющего</w:t>
            </w:r>
            <w:r>
              <w:rPr>
                <w:color w:val="auto"/>
                <w:sz w:val="20"/>
              </w:rPr>
              <w:t xml:space="preserve">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  <w:r>
              <w:rPr>
                <w:color w:val="auto"/>
              </w:rPr>
            </w:r>
          </w:p>
        </w:tc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1А-</w:t>
            </w:r>
            <w:r>
              <w:rPr>
                <w:color w:val="auto"/>
                <w:sz w:val="20"/>
              </w:rPr>
              <w:t xml:space="preserve">5А, 1Б-5</w:t>
            </w:r>
            <w:r>
              <w:rPr>
                <w:color w:val="auto"/>
                <w:sz w:val="20"/>
              </w:rPr>
              <w:t xml:space="preserve">Б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о</w:t>
            </w:r>
            <w:r>
              <w:rPr>
                <w:color w:val="auto"/>
                <w:sz w:val="20"/>
              </w:rPr>
              <w:t xml:space="preserve">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color w:val="auto"/>
              </w:rPr>
            </w:r>
          </w:p>
        </w:tc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  <w:r>
              <w:rPr>
                <w:color w:val="auto"/>
              </w:rPr>
            </w:r>
          </w:p>
        </w:tc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1А-5А, 1Б</w:t>
            </w:r>
            <w:r>
              <w:rPr>
                <w:color w:val="auto"/>
                <w:sz w:val="20"/>
              </w:rPr>
              <w:t xml:space="preserve">, 2</w:t>
            </w:r>
            <w:r>
              <w:rPr>
                <w:color w:val="auto"/>
                <w:sz w:val="20"/>
              </w:rPr>
              <w:t xml:space="preserve">Б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отсутствие права на ежемесячную денежную выплату в соответствии с действующим законодательством</w:t>
            </w:r>
            <w:r>
              <w:rPr>
                <w:color w:val="auto"/>
              </w:rPr>
            </w:r>
          </w:p>
        </w:tc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1А-5А</w:t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непредставление заявления и документов, которые необходимо представить самостоятельно</w:t>
            </w:r>
            <w:r>
              <w:rPr>
                <w:color w:val="auto"/>
              </w:rPr>
            </w:r>
          </w:p>
        </w:tc>
        <w:tc>
          <w:tcPr>
            <w:tcW w:w="5000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1А-5А, </w:t>
            </w:r>
            <w:r>
              <w:rPr>
                <w:color w:val="auto"/>
                <w:sz w:val="20"/>
              </w:rPr>
              <w:t xml:space="preserve">1Б, 2</w:t>
            </w:r>
            <w:r>
              <w:rPr>
                <w:color w:val="auto"/>
                <w:sz w:val="20"/>
              </w:rPr>
              <w:t xml:space="preserve">Б</w:t>
            </w:r>
            <w:r>
              <w:rPr>
                <w:color w:val="auto"/>
              </w:rPr>
            </w:r>
          </w:p>
        </w:tc>
      </w:tr>
    </w:tbl>
    <w:p>
      <w:pPr>
        <w:pStyle w:val="698"/>
        <w:numPr>
          <w:ilvl w:val="0"/>
          <w:numId w:val="6"/>
        </w:numPr>
        <w:jc w:val="center"/>
        <w:tabs>
          <w:tab w:val="left" w:pos="284" w:leader="none"/>
        </w:tabs>
        <w:rPr>
          <w:color w:val="auto"/>
        </w:rPr>
      </w:pPr>
      <w:r>
        <w:rPr>
          <w:b/>
          <w:color w:val="auto"/>
          <w:sz w:val="28"/>
        </w:rPr>
        <w:t xml:space="preserve">Нормативный правовой акт, утверждающий форму</w:t>
      </w:r>
      <w:r>
        <w:rPr>
          <w:b/>
          <w:color w:val="auto"/>
          <w:sz w:val="28"/>
        </w:rPr>
        <w:t xml:space="preserve"> </w:t>
      </w:r>
      <w:r>
        <w:rPr>
          <w:b/>
          <w:color w:val="auto"/>
          <w:sz w:val="28"/>
        </w:rPr>
        <w:t xml:space="preserve">заявления, необходимого</w:t>
      </w:r>
      <w:r>
        <w:rPr>
          <w:b/>
          <w:color w:val="auto"/>
          <w:sz w:val="28"/>
        </w:rPr>
        <w:t xml:space="preserve"> для предоставления Услуги</w:t>
      </w:r>
      <w:r>
        <w:rPr>
          <w:color w:val="auto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725"/>
        <w:ind w:left="0" w:firstLine="851"/>
        <w:jc w:val="both"/>
        <w:tabs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заявления утверждена приказом министерства труда и социального развития Новосибирской области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25.06.2024 № 1394-НПА «Об </w:t>
      </w:r>
      <w:r>
        <w:rPr>
          <w:sz w:val="28"/>
          <w:szCs w:val="28"/>
        </w:rPr>
        <w:t xml:space="preserve">утверждении форм заявлений по назначению и выплате ежемесячной денежной выплаты»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sectPr>
      <w:headerReference w:type="default" r:id="rId9"/>
      <w:footnotePr/>
      <w:endnotePr/>
      <w:type w:val="nextPage"/>
      <w:pgSz w:w="11900" w:h="16840" w:orient="portrait"/>
      <w:pgMar w:top="1134" w:right="567" w:bottom="851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Calibri">
    <w:panose1 w:val="020F0502020204030204"/>
  </w:font>
  <w:font w:name="Consolas">
    <w:panose1 w:val="020B0609020204030204"/>
  </w:font>
  <w:font w:name="Tahoma">
    <w:panose1 w:val="020B0604030504040204"/>
  </w:font>
  <w:font w:name="Yu Mincho">
    <w:panose1 w:val="05050102010205020202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jc w:val="both"/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0"/>
        <w:lang w:val="en-US"/>
      </w:rPr>
      <w:framePr w:wrap="around" w:vAnchor="text" w:hAnchor="margin" w:xAlign="center" w:y="1"/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11</w:t>
    </w:r>
    <w:r>
      <w:rPr>
        <w:sz w:val="20"/>
      </w:rPr>
      <w:fldChar w:fldCharType="end"/>
    </w:r>
    <w:r>
      <w:rPr>
        <w:sz w:val="20"/>
        <w:lang w:val="en-US"/>
      </w:rPr>
    </w:r>
  </w:p>
  <w:p>
    <w:pPr>
      <w:pStyle w:val="7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  <w:rPr>
        <w:sz w:val="20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5"/>
      <w:numFmt w:val="upperRoman"/>
      <w:isLgl w:val="false"/>
      <w:suff w:val="tab"/>
      <w:lvlText w:val="%1."/>
      <w:lvlJc w:val="center"/>
      <w:pPr>
        <w:ind w:left="0" w:firstLine="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4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isLgl w:val="false"/>
      <w:suff w:val="tab"/>
      <w:lvlText w:val="%2)"/>
      <w:lvlJc w:val="left"/>
      <w:pPr>
        <w:ind w:left="1645" w:hanging="1077"/>
        <w:tabs>
          <w:tab w:val="num" w:pos="1872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5415" w:hanging="375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61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8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5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2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4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1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1353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">
    <w:multiLevelType w:val="hybridMultilevel"/>
    <w:lvl w:ilvl="0">
      <w:start w:val="3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645" w:hanging="1077"/>
        <w:tabs>
          <w:tab w:val="num" w:pos="1872" w:leader="none"/>
        </w:tabs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7"/>
    <w:link w:val="719"/>
    <w:uiPriority w:val="10"/>
    <w:rPr>
      <w:sz w:val="48"/>
      <w:szCs w:val="48"/>
    </w:rPr>
  </w:style>
  <w:style w:type="character" w:styleId="37">
    <w:name w:val="Subtitle Char"/>
    <w:basedOn w:val="707"/>
    <w:link w:val="721"/>
    <w:uiPriority w:val="11"/>
    <w:rPr>
      <w:sz w:val="24"/>
      <w:szCs w:val="24"/>
    </w:rPr>
  </w:style>
  <w:style w:type="character" w:styleId="39">
    <w:name w:val="Quote Char"/>
    <w:link w:val="723"/>
    <w:uiPriority w:val="29"/>
    <w:rPr>
      <w:i/>
    </w:rPr>
  </w:style>
  <w:style w:type="character" w:styleId="41">
    <w:name w:val="Intense Quote Char"/>
    <w:link w:val="727"/>
    <w:uiPriority w:val="30"/>
    <w:rPr>
      <w:i/>
    </w:rPr>
  </w:style>
  <w:style w:type="character" w:styleId="43">
    <w:name w:val="Header Char"/>
    <w:basedOn w:val="707"/>
    <w:link w:val="736"/>
    <w:uiPriority w:val="99"/>
  </w:style>
  <w:style w:type="character" w:styleId="45">
    <w:name w:val="Footer Char"/>
    <w:basedOn w:val="707"/>
    <w:link w:val="738"/>
    <w:uiPriority w:val="99"/>
  </w:style>
  <w:style w:type="paragraph" w:styleId="46">
    <w:name w:val="Caption"/>
    <w:basedOn w:val="697"/>
    <w:next w:val="69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7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7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link w:val="730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698">
    <w:name w:val="Heading 1"/>
    <w:basedOn w:val="697"/>
    <w:next w:val="697"/>
    <w:link w:val="710"/>
    <w:uiPriority w:val="9"/>
    <w:qFormat/>
    <w:pPr>
      <w:keepLines/>
      <w:keepNext/>
      <w:spacing w:before="360" w:after="80"/>
      <w:outlineLvl w:val="0"/>
    </w:pPr>
  </w:style>
  <w:style w:type="paragraph" w:styleId="699">
    <w:name w:val="Heading 2"/>
    <w:basedOn w:val="697"/>
    <w:next w:val="697"/>
    <w:link w:val="71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00">
    <w:name w:val="Heading 3"/>
    <w:basedOn w:val="697"/>
    <w:next w:val="697"/>
    <w:link w:val="71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701">
    <w:name w:val="Heading 4"/>
    <w:basedOn w:val="697"/>
    <w:next w:val="697"/>
    <w:link w:val="71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702">
    <w:name w:val="Heading 5"/>
    <w:basedOn w:val="697"/>
    <w:next w:val="697"/>
    <w:link w:val="71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03">
    <w:name w:val="Heading 6"/>
    <w:basedOn w:val="697"/>
    <w:next w:val="697"/>
    <w:link w:val="715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4">
    <w:name w:val="Heading 7"/>
    <w:basedOn w:val="697"/>
    <w:next w:val="697"/>
    <w:link w:val="716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705">
    <w:name w:val="Heading 8"/>
    <w:basedOn w:val="697"/>
    <w:next w:val="697"/>
    <w:link w:val="717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6">
    <w:name w:val="Heading 9"/>
    <w:basedOn w:val="697"/>
    <w:next w:val="697"/>
    <w:link w:val="718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Заголовок 1 Знак"/>
    <w:basedOn w:val="707"/>
    <w:link w:val="69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711" w:customStyle="1">
    <w:name w:val="Заголовок 2 Знак"/>
    <w:basedOn w:val="707"/>
    <w:link w:val="69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12" w:customStyle="1">
    <w:name w:val="Заголовок 3 Знак"/>
    <w:basedOn w:val="707"/>
    <w:link w:val="70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713" w:customStyle="1">
    <w:name w:val="Заголовок 4 Знак"/>
    <w:basedOn w:val="707"/>
    <w:link w:val="70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714" w:customStyle="1">
    <w:name w:val="Заголовок 5 Знак"/>
    <w:basedOn w:val="707"/>
    <w:link w:val="702"/>
    <w:uiPriority w:val="9"/>
    <w:semiHidden/>
    <w:rPr>
      <w:rFonts w:eastAsiaTheme="majorEastAsia" w:cstheme="majorBidi"/>
      <w:color w:val="2f5496" w:themeColor="accent1" w:themeShade="BF"/>
    </w:rPr>
  </w:style>
  <w:style w:type="character" w:styleId="715" w:customStyle="1">
    <w:name w:val="Заголовок 6 Знак"/>
    <w:basedOn w:val="707"/>
    <w:link w:val="70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16" w:customStyle="1">
    <w:name w:val="Заголовок 7 Знак"/>
    <w:basedOn w:val="707"/>
    <w:link w:val="704"/>
    <w:uiPriority w:val="9"/>
    <w:semiHidden/>
    <w:rPr>
      <w:rFonts w:eastAsiaTheme="majorEastAsia" w:cstheme="majorBidi"/>
      <w:color w:val="595959" w:themeColor="text1" w:themeTint="A6"/>
    </w:rPr>
  </w:style>
  <w:style w:type="character" w:styleId="717" w:customStyle="1">
    <w:name w:val="Заголовок 8 Знак"/>
    <w:basedOn w:val="707"/>
    <w:link w:val="70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18" w:customStyle="1">
    <w:name w:val="Заголовок 9 Знак"/>
    <w:basedOn w:val="707"/>
    <w:link w:val="706"/>
    <w:uiPriority w:val="9"/>
    <w:semiHidden/>
    <w:rPr>
      <w:rFonts w:eastAsiaTheme="majorEastAsia" w:cstheme="majorBidi"/>
      <w:color w:val="272727" w:themeColor="text1" w:themeTint="D8"/>
    </w:rPr>
  </w:style>
  <w:style w:type="paragraph" w:styleId="719">
    <w:name w:val="Title"/>
    <w:basedOn w:val="697"/>
    <w:next w:val="697"/>
    <w:link w:val="720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20" w:customStyle="1">
    <w:name w:val="Название Знак"/>
    <w:basedOn w:val="707"/>
    <w:link w:val="71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21">
    <w:name w:val="Subtitle"/>
    <w:basedOn w:val="697"/>
    <w:next w:val="697"/>
    <w:link w:val="72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22" w:customStyle="1">
    <w:name w:val="Подзаголовок Знак"/>
    <w:basedOn w:val="707"/>
    <w:link w:val="72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23">
    <w:name w:val="Quote"/>
    <w:basedOn w:val="697"/>
    <w:next w:val="697"/>
    <w:link w:val="72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724" w:customStyle="1">
    <w:name w:val="Цитата 2 Знак"/>
    <w:basedOn w:val="707"/>
    <w:link w:val="723"/>
    <w:uiPriority w:val="29"/>
    <w:rPr>
      <w:i/>
      <w:iCs/>
      <w:color w:val="404040" w:themeColor="text1" w:themeTint="BF"/>
    </w:rPr>
  </w:style>
  <w:style w:type="paragraph" w:styleId="725">
    <w:name w:val="List Paragraph"/>
    <w:basedOn w:val="697"/>
    <w:link w:val="733"/>
    <w:uiPriority w:val="34"/>
    <w:qFormat/>
    <w:pPr>
      <w:contextualSpacing/>
      <w:ind w:left="720"/>
    </w:pPr>
  </w:style>
  <w:style w:type="character" w:styleId="726">
    <w:name w:val="Intense Emphasis"/>
    <w:basedOn w:val="707"/>
    <w:uiPriority w:val="21"/>
    <w:qFormat/>
    <w:rPr>
      <w:i/>
      <w:iCs/>
      <w:color w:val="2f5496" w:themeColor="accent1" w:themeShade="BF"/>
    </w:rPr>
  </w:style>
  <w:style w:type="paragraph" w:styleId="727">
    <w:name w:val="Intense Quote"/>
    <w:basedOn w:val="697"/>
    <w:next w:val="697"/>
    <w:link w:val="72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728" w:customStyle="1">
    <w:name w:val="Выделенная цитата Знак"/>
    <w:basedOn w:val="707"/>
    <w:link w:val="727"/>
    <w:uiPriority w:val="30"/>
    <w:rPr>
      <w:i/>
      <w:iCs/>
      <w:color w:val="2f5496" w:themeColor="accent1" w:themeShade="BF"/>
    </w:rPr>
  </w:style>
  <w:style w:type="character" w:styleId="729">
    <w:name w:val="Intense Reference"/>
    <w:basedOn w:val="707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730" w:customStyle="1">
    <w:name w:val="Обычный1"/>
    <w:rPr>
      <w:rFonts w:ascii="Times New Roman" w:hAnsi="Times New Roman"/>
      <w:color w:val="000000"/>
      <w:sz w:val="24"/>
    </w:rPr>
  </w:style>
  <w:style w:type="table" w:styleId="731">
    <w:name w:val="Table Grid"/>
    <w:basedOn w:val="708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32" w:customStyle="1">
    <w:name w:val="! ТЗ Стиль __ТекстОсн_1и + Times New Roman 12 пт По ширине Первая стр..."/>
    <w:basedOn w:val="697"/>
    <w:qFormat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733" w:customStyle="1">
    <w:name w:val="Абзац списка Знак"/>
    <w:basedOn w:val="730"/>
    <w:link w:val="725"/>
    <w:uiPriority w:val="34"/>
    <w:qFormat/>
    <w:rPr>
      <w:rFonts w:ascii="Times New Roman" w:hAnsi="Times New Roman"/>
      <w:color w:val="000000"/>
      <w:sz w:val="24"/>
    </w:rPr>
  </w:style>
  <w:style w:type="paragraph" w:styleId="734" w:customStyle="1">
    <w:name w:val="Знак сноски1"/>
    <w:basedOn w:val="697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styleId="735" w:customStyle="1">
    <w:name w:val="Footnote"/>
    <w:basedOn w:val="697"/>
    <w:qFormat/>
    <w:rPr>
      <w:sz w:val="20"/>
    </w:rPr>
  </w:style>
  <w:style w:type="paragraph" w:styleId="736">
    <w:name w:val="Header"/>
    <w:basedOn w:val="697"/>
    <w:link w:val="737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737" w:customStyle="1">
    <w:name w:val="Верхний колонтитул Знак"/>
    <w:basedOn w:val="707"/>
    <w:link w:val="736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738">
    <w:name w:val="Footer"/>
    <w:basedOn w:val="697"/>
    <w:link w:val="7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9" w:customStyle="1">
    <w:name w:val="Нижний колонтитул Знак"/>
    <w:basedOn w:val="707"/>
    <w:link w:val="738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740">
    <w:name w:val="Balloon Text"/>
    <w:basedOn w:val="697"/>
    <w:link w:val="741"/>
    <w:uiPriority w:val="99"/>
    <w:semiHidden/>
    <w:unhideWhenUsed/>
    <w:rPr>
      <w:rFonts w:ascii="Tahoma" w:hAnsi="Tahoma" w:cs="Tahoma"/>
      <w:sz w:val="16"/>
      <w:szCs w:val="16"/>
    </w:rPr>
  </w:style>
  <w:style w:type="character" w:styleId="741" w:customStyle="1">
    <w:name w:val="Текст выноски Знак"/>
    <w:basedOn w:val="707"/>
    <w:link w:val="740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742" w:customStyle="1">
    <w:name w:val="Comment Reference"/>
    <w:basedOn w:val="707"/>
    <w:uiPriority w:val="99"/>
    <w:unhideWhenUsed/>
    <w:rPr>
      <w:sz w:val="16"/>
      <w:szCs w:val="16"/>
    </w:rPr>
  </w:style>
  <w:style w:type="paragraph" w:styleId="743" w:customStyle="1">
    <w:name w:val="Comment Text"/>
    <w:basedOn w:val="697"/>
    <w:link w:val="744"/>
    <w:uiPriority w:val="99"/>
    <w:unhideWhenUsed/>
    <w:rPr>
      <w:sz w:val="20"/>
    </w:rPr>
  </w:style>
  <w:style w:type="character" w:styleId="744" w:customStyle="1">
    <w:name w:val="Текст примечания Знак"/>
    <w:basedOn w:val="707"/>
    <w:link w:val="743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745">
    <w:name w:val="HTML Preformatted"/>
    <w:basedOn w:val="697"/>
    <w:link w:val="746"/>
    <w:uiPriority w:val="99"/>
    <w:semiHidden/>
    <w:unhideWhenUsed/>
    <w:rPr>
      <w:rFonts w:ascii="Consolas" w:hAnsi="Consolas"/>
      <w:sz w:val="20"/>
    </w:rPr>
  </w:style>
  <w:style w:type="character" w:styleId="746" w:customStyle="1">
    <w:name w:val="Стандартный HTML Знак"/>
    <w:basedOn w:val="707"/>
    <w:link w:val="745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747" w:customStyle="1">
    <w:name w:val="Normal_1af1b730-b3d4-4572-9646-c260c37bc275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748" w:customStyle="1">
    <w:name w:val="Table Grid_c21ed9d2-cfc0-4e7a-b510-ef9abfe5733f"/>
    <w:basedOn w:val="708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49" w:customStyle="1">
    <w:name w:val="List Paragraph_e9e3b30c-ccb8-411c-99bd-0591bcfac9f2"/>
    <w:basedOn w:val="747"/>
    <w:uiPriority w:val="34"/>
    <w:qFormat/>
    <w:pPr>
      <w:contextualSpacing/>
      <w:ind w:left="720"/>
    </w:pPr>
  </w:style>
  <w:style w:type="paragraph" w:styleId="750" w:customStyle="1">
    <w:name w:val="Footnote_c36af626-b0c7-4aef-9a09-715f55621051"/>
    <w:basedOn w:val="747"/>
    <w:qFormat/>
    <w:rPr>
      <w:sz w:val="20"/>
    </w:rPr>
  </w:style>
  <w:style w:type="paragraph" w:styleId="751" w:customStyle="1">
    <w:name w:val="Footnote_6871b824-4034-40b4-9094-312914d7434b"/>
    <w:basedOn w:val="752"/>
    <w:qFormat/>
    <w:rPr>
      <w:sz w:val="20"/>
    </w:rPr>
  </w:style>
  <w:style w:type="paragraph" w:styleId="752" w:customStyle="1">
    <w:name w:val="Normal_7e21c3bf-5899-4e38-95ae-c68180569eb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753" w:customStyle="1">
    <w:name w:val="ConsPlusNormal"/>
    <w:link w:val="754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character" w:styleId="754" w:customStyle="1">
    <w:name w:val="ConsPlusNormal Знак"/>
    <w:link w:val="753"/>
    <w:rPr>
      <w:rFonts w:ascii="Calibri" w:hAnsi="Calibri" w:cs="Calibri" w:eastAsiaTheme="minorEastAsia"/>
      <w:lang w:eastAsia="ru-RU"/>
    </w:rPr>
  </w:style>
  <w:style w:type="paragraph" w:styleId="755" w:customStyle="1">
    <w:name w:val="List Paragraph_e614ede4-e011-4e15-a58c-50d4bc8061f7"/>
    <w:basedOn w:val="697"/>
    <w:uiPriority w:val="34"/>
    <w:qFormat/>
    <w:pPr>
      <w:contextualSpacing/>
      <w:ind w:left="720"/>
    </w:pPr>
  </w:style>
  <w:style w:type="paragraph" w:styleId="756" w:customStyle="1">
    <w:name w:val="Normal_04f08c11-a7e5-4803-87fd-8bf8ba8b981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757" w:customStyle="1">
    <w:name w:val="List Paragraph_c4fd62ff-baf5-4466-ae8e-2cdf83099e58"/>
    <w:basedOn w:val="697"/>
    <w:uiPriority w:val="34"/>
    <w:qFormat/>
    <w:pPr>
      <w:contextualSpacing/>
      <w:ind w:left="720"/>
    </w:pPr>
  </w:style>
  <w:style w:type="paragraph" w:styleId="758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759">
    <w:name w:val="Normal (Web)"/>
    <w:basedOn w:val="697"/>
    <w:uiPriority w:val="99"/>
    <w:unhideWhenUsed/>
    <w:pPr>
      <w:spacing w:before="100" w:beforeAutospacing="1" w:after="100" w:afterAutospacing="1"/>
    </w:pPr>
    <w:rPr>
      <w:color w:val="auto"/>
      <w:szCs w:val="24"/>
    </w:rPr>
  </w:style>
  <w:style w:type="paragraph" w:styleId="760" w:customStyle="1">
    <w:name w:val="Normal_ef8d9c9f-3711-48ac-9146-6d8d279ee2e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761" w:customStyle="1">
    <w:name w:val="Normal_3acb3564-ae83-42f4-9a09-ed9acff76732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wmf"/><Relationship Id="rId11" Type="http://schemas.openxmlformats.org/officeDocument/2006/relationships/image" Target="media/media1.svg"/><Relationship Id="rId12" Type="http://schemas.openxmlformats.org/officeDocument/2006/relationships/hyperlink" Target="https://login.consultant.ru/link/?rnd=4F76CFA3B754175EE6B7A4131CD947A5&amp;req=doc&amp;base=LAW&amp;n=314549&amp;dst=100017&amp;fld=134&amp;date=22.01.20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kusi</cp:lastModifiedBy>
  <cp:revision>65</cp:revision>
  <dcterms:created xsi:type="dcterms:W3CDTF">2025-10-09T10:36:00Z</dcterms:created>
  <dcterms:modified xsi:type="dcterms:W3CDTF">2026-08-17T09:41:34Z</dcterms:modified>
</cp:coreProperties>
</file>