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1356"/>
        <w:gridCol w:w="7008"/>
        <w:gridCol w:w="283"/>
        <w:gridCol w:w="1276"/>
        <w:gridCol w:w="283"/>
      </w:tblGrid>
      <w:tr>
        <w:trPr>
          <w:trHeight w:val="2698"/>
        </w:trPr>
        <w:tblPrEx/>
        <w:tc>
          <w:tcPr>
            <w:tcW w:w="10206" w:type="dxa"/>
            <w:gridSpan w:val="5"/>
            <w:noWrap w:val="false"/>
            <w:textDirection w:val="lrTb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8955" cy="650240"/>
                      <wp:effectExtent l="0" t="0" r="4445" b="0"/>
                      <wp:docPr id="1" name="Рисунок 2" descr="emble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emblem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528955" cy="650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1.65pt;height:51.2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МИНИСТЕРСТВО </w:t>
            </w:r>
            <w:r>
              <w:rPr>
                <w:b/>
                <w:sz w:val="28"/>
                <w:szCs w:val="28"/>
              </w:rPr>
              <w:t xml:space="preserve">ТРУДА И </w:t>
            </w:r>
            <w:r>
              <w:rPr>
                <w:b/>
                <w:sz w:val="28"/>
                <w:szCs w:val="28"/>
              </w:rPr>
              <w:t xml:space="preserve">СОЦИАЛЬНОГО </w:t>
            </w:r>
            <w:r>
              <w:rPr>
                <w:b/>
                <w:sz w:val="28"/>
                <w:szCs w:val="28"/>
              </w:rPr>
              <w:t xml:space="preserve">РАЗВИТИЯ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НОВОСИБИРСКОЙ ОБЛАСТИ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ПРИКАЗ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rPr>
          <w:gridAfter w:val="1"/>
        </w:trPr>
        <w:tblPrEx/>
        <w:tc>
          <w:tcPr>
            <w:tcW w:w="1356" w:type="dxa"/>
            <w:tcBorders>
              <w:bottom w:val="single" w:color="auto" w:sz="4" w:space="0"/>
            </w:tcBorders>
            <w:noWrap w:val="false"/>
            <w:textDirection w:val="lrTb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008" w:type="dxa"/>
            <w:noWrap w:val="false"/>
            <w:textDirection w:val="lrTb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83" w:type="dxa"/>
            <w:noWrap w:val="false"/>
            <w:textDirection w:val="lrTb"/>
          </w:tcPr>
          <w:p>
            <w:pPr>
              <w:ind w:left="-108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6" w:type="dxa"/>
            <w:tcBorders>
              <w:bottom w:val="single" w:color="auto" w:sz="4" w:space="0"/>
            </w:tcBorders>
            <w:noWrap w:val="false"/>
            <w:textDirection w:val="lrTb"/>
          </w:tcPr>
          <w:p>
            <w:pPr>
              <w:tabs>
                <w:tab w:val="left" w:pos="1026" w:leader="none"/>
              </w:tabs>
              <w:ind w:left="-675" w:right="-108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47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06" w:type="dxa"/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г. Новосибирск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10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инистерства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труда и социального развития Новосибирской области по предоставлению государственной услуги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106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Заключение социального контракта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</w:t>
      </w:r>
      <w:r>
        <w:rPr>
          <w:sz w:val="28"/>
          <w:szCs w:val="28"/>
        </w:rPr>
        <w:t xml:space="preserve">ральным законом от 17.07.1999 № </w:t>
      </w:r>
      <w:r>
        <w:rPr>
          <w:sz w:val="28"/>
          <w:szCs w:val="28"/>
        </w:rPr>
        <w:t xml:space="preserve">178-ФЗ </w:t>
      </w:r>
      <w:r>
        <w:rPr>
          <w:sz w:val="28"/>
          <w:szCs w:val="28"/>
        </w:rPr>
        <w:t xml:space="preserve">«О государственной социальной помощи</w:t>
      </w:r>
      <w:r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постановлением Правительства Российской Федерации от 16.11.2023 № 1931 «Об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</w:t>
      </w:r>
      <w:r>
        <w:rPr>
          <w:sz w:val="28"/>
          <w:szCs w:val="28"/>
        </w:rPr>
        <w:t xml:space="preserve">нной Федеральным законом «О государственной социальной помощи», </w:t>
      </w:r>
      <w:r>
        <w:rPr>
          <w:sz w:val="28"/>
          <w:szCs w:val="28"/>
        </w:rPr>
        <w:t xml:space="preserve">Законом Новосибирской о</w:t>
      </w:r>
      <w:r>
        <w:rPr>
          <w:sz w:val="28"/>
          <w:szCs w:val="28"/>
        </w:rPr>
        <w:t xml:space="preserve">бласти от 05.12.1995 № 29-ОЗ «О </w:t>
      </w:r>
      <w:r>
        <w:rPr>
          <w:sz w:val="28"/>
          <w:szCs w:val="28"/>
        </w:rPr>
        <w:t xml:space="preserve">социальной помощи населению на территории Новосибирской области», постановлением Правительства Новосибирской области от 22.07.2019</w:t>
      </w:r>
      <w:r>
        <w:rPr>
          <w:sz w:val="28"/>
          <w:szCs w:val="28"/>
        </w:rPr>
        <w:t xml:space="preserve"> № 281-п «Об </w:t>
      </w:r>
      <w:r>
        <w:rPr>
          <w:sz w:val="28"/>
          <w:szCs w:val="28"/>
        </w:rPr>
        <w:t xml:space="preserve">установлении размера, порядка и условий предоставления социальной помощи на территории Новосибирской области»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ПРИКАЗЫВАЮ: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4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</w:t>
      </w:r>
      <w:r>
        <w:rPr>
          <w:sz w:val="28"/>
          <w:szCs w:val="28"/>
        </w:rPr>
        <w:t xml:space="preserve">Утвердить прилагаемый Административный </w:t>
      </w:r>
      <w:hyperlink r:id="rId13" w:tooltip="https://login.consultant.ru/link/?rnd=4F76CFA3B754175EE6B7A4131CD947A5&amp;req=doc&amp;base=LAW&amp;n=314549&amp;dst=100017&amp;fld=134&amp;date=22.01.2020" w:history="1">
        <w:r>
          <w:rPr>
            <w:sz w:val="28"/>
            <w:szCs w:val="28"/>
          </w:rPr>
          <w:t xml:space="preserve">регламент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инистерства труда и социального развития Новосибирской области</w:t>
      </w:r>
      <w:r>
        <w:rPr>
          <w:sz w:val="28"/>
          <w:szCs w:val="28"/>
        </w:rPr>
        <w:t xml:space="preserve"> по предоставлению государственной услуги «</w:t>
      </w:r>
      <w:r>
        <w:rPr>
          <w:sz w:val="28"/>
          <w:szCs w:val="28"/>
        </w:rPr>
        <w:t xml:space="preserve">Заключение социального контракта» </w:t>
      </w:r>
      <w:r>
        <w:rPr>
          <w:sz w:val="28"/>
          <w:szCs w:val="28"/>
        </w:rPr>
        <w:t xml:space="preserve">(далее – Административный регламент)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</w:t>
      </w:r>
      <w:r>
        <w:rPr>
          <w:sz w:val="28"/>
          <w:szCs w:val="28"/>
        </w:rPr>
        <w:t xml:space="preserve">Признать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утратившим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силу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 министерства труда и социального развити</w:t>
      </w:r>
      <w:r>
        <w:rPr>
          <w:sz w:val="28"/>
          <w:szCs w:val="28"/>
        </w:rPr>
        <w:t xml:space="preserve">я Новосибирской области от 23.09.2025 № 1844</w:t>
      </w:r>
      <w:r>
        <w:rPr>
          <w:sz w:val="28"/>
          <w:szCs w:val="28"/>
        </w:rPr>
        <w:t xml:space="preserve">-НПА «Об утверждении Административного регламента министерства труда и социального развития Новосибирской области по предоставлению государственной услуги «За</w:t>
      </w:r>
      <w:r>
        <w:rPr>
          <w:sz w:val="28"/>
          <w:szCs w:val="28"/>
        </w:rPr>
        <w:t xml:space="preserve">ключение социального контракта».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</w:t>
      </w:r>
      <w:r>
        <w:rPr>
          <w:sz w:val="28"/>
          <w:szCs w:val="28"/>
        </w:rPr>
        <w:t xml:space="preserve">Начальнику управления организации социальных выплат </w:t>
      </w:r>
      <w:r>
        <w:rPr>
          <w:sz w:val="28"/>
          <w:szCs w:val="28"/>
        </w:rPr>
        <w:t xml:space="preserve">Доропеевой С.Р</w:t>
      </w:r>
      <w:r>
        <w:rPr>
          <w:sz w:val="28"/>
          <w:szCs w:val="28"/>
        </w:rPr>
        <w:t xml:space="preserve">. обеспечить предоставление государственной услуги в соответствии с Административным регламентом.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</w:t>
      </w:r>
      <w:r>
        <w:rPr>
          <w:sz w:val="28"/>
          <w:szCs w:val="28"/>
        </w:rPr>
        <w:t xml:space="preserve">Контроль за исполнением приказа возложить на заместителя министра труда и социального развития Ново</w:t>
      </w:r>
      <w:r>
        <w:rPr>
          <w:sz w:val="28"/>
          <w:szCs w:val="28"/>
        </w:rPr>
        <w:t xml:space="preserve">сибирской области Мальцеву Т.А.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ab/>
        <w:t xml:space="preserve">Е.В. </w:t>
      </w:r>
      <w:r>
        <w:rPr>
          <w:sz w:val="28"/>
          <w:szCs w:val="28"/>
        </w:rPr>
        <w:t xml:space="preserve">Бахарева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</w:pPr>
    </w:p>
    <w:p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приказом</w:t>
      </w:r>
      <w:r>
        <w:rPr>
          <w:sz w:val="28"/>
          <w:szCs w:val="28"/>
        </w:rPr>
        <w:t xml:space="preserve"> министерства труда 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социального</w:t>
      </w:r>
      <w:r>
        <w:rPr>
          <w:sz w:val="28"/>
          <w:szCs w:val="28"/>
        </w:rPr>
        <w:t xml:space="preserve"> развития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___________</w:t>
      </w:r>
      <w:r>
        <w:rPr>
          <w:sz w:val="28"/>
          <w:szCs w:val="28"/>
        </w:rPr>
        <w:t xml:space="preserve">__</w:t>
      </w:r>
      <w:r>
        <w:rPr>
          <w:sz w:val="28"/>
          <w:szCs w:val="28"/>
        </w:rPr>
        <w:t xml:space="preserve"> № ____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6"/>
        <w:tabs>
          <w:tab w:val="left" w:pos="284" w:leader="none"/>
          <w:tab w:val="left" w:pos="1134" w:leader="none"/>
        </w:tabs>
        <w:ind w:right="-1"/>
        <w:contextualSpacing/>
        <w:rPr>
          <w:iCs/>
          <w:sz w:val="28"/>
        </w:rPr>
      </w:pPr>
      <w:r>
        <w:rPr>
          <w:iCs/>
          <w:sz w:val="28"/>
        </w:rPr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  <w:t xml:space="preserve">Административный регламент</w:t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  <w:szCs w:val="28"/>
        </w:rPr>
        <w:t xml:space="preserve">министерства</w:t>
      </w:r>
      <w:r>
        <w:rPr>
          <w:b/>
          <w:bCs/>
          <w:color w:val="000000" w:themeColor="text1"/>
          <w:sz w:val="28"/>
          <w:szCs w:val="28"/>
        </w:rPr>
        <w:t xml:space="preserve"> труда и социального развития Новосибирской области</w:t>
      </w:r>
      <w:r>
        <w:rPr>
          <w:b/>
          <w:iCs/>
          <w:color w:val="000000" w:themeColor="text1"/>
          <w:sz w:val="28"/>
        </w:rPr>
        <w:t xml:space="preserve"> по предоставлению государственной услуги «Заключение социального контракта»</w:t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  <w:t xml:space="preserve">I. Общие положения</w:t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60"/>
        <w:numPr>
          <w:numId w:val="25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Настоящий Административный регламент устанавливает порядок и стандарт предоставления государственной услуги «Заключение социального контракта»</w:t>
      </w:r>
      <w:r>
        <w:rPr>
          <w:iCs/>
          <w:color w:val="000000" w:themeColor="text1"/>
          <w:sz w:val="28"/>
        </w:rPr>
        <w:t xml:space="preserve"> (далее </w:t>
      </w:r>
      <w:r>
        <w:rPr>
          <w:color w:val="000000" w:themeColor="text1"/>
          <w:sz w:val="28"/>
        </w:rPr>
        <w:t xml:space="preserve">–</w:t>
      </w:r>
      <w:r>
        <w:rPr>
          <w:iCs/>
          <w:color w:val="000000" w:themeColor="text1"/>
          <w:sz w:val="28"/>
        </w:rPr>
        <w:t xml:space="preserve"> Услуга)</w:t>
      </w:r>
      <w:r>
        <w:rPr>
          <w:iCs/>
          <w:color w:val="000000" w:themeColor="text1"/>
          <w:sz w:val="28"/>
        </w:rPr>
        <w:t xml:space="preserve">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60"/>
        <w:numPr>
          <w:numId w:val="25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Услуга предоставляется гражданам Российской Федерации, постоянно проживающим на территории Российской Федерации, из числа следующих категорий</w:t>
      </w:r>
      <w:r>
        <w:rPr>
          <w:iCs/>
          <w:color w:val="000000" w:themeColor="text1"/>
          <w:sz w:val="28"/>
        </w:rPr>
        <w:t xml:space="preserve"> заявителей:</w:t>
      </w:r>
      <w:r>
        <w:rPr>
          <w:color w:val="000000" w:themeColor="text1"/>
          <w:sz w:val="28"/>
          <w:szCs w:val="28"/>
        </w:rPr>
        <w:t xml:space="preserve"> 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72"/>
        <w:spacing w:before="0" w:beforeAutospacing="0" w:after="0" w:afterAutospacing="0" w:line="288" w:lineRule="atLeast"/>
        <w:ind w:firstLine="540"/>
        <w:jc w:val="both"/>
      </w:pPr>
      <w:r>
        <w:rPr>
          <w:iCs/>
          <w:color w:val="000000" w:themeColor="text1"/>
          <w:sz w:val="28"/>
        </w:rPr>
        <w:t xml:space="preserve">–</w:t>
      </w:r>
      <w:r>
        <w:rPr>
          <w:iCs/>
          <w:color w:val="000000" w:themeColor="text1"/>
          <w:sz w:val="28"/>
        </w:rPr>
        <w:t xml:space="preserve"> граждане из малоимущих</w:t>
      </w:r>
      <w:r>
        <w:rPr>
          <w:iCs/>
          <w:color w:val="000000" w:themeColor="text1"/>
          <w:sz w:val="28"/>
        </w:rPr>
        <w:t xml:space="preserve"> семей, малоимущие одиноко проживающие граждане и граждане из иных категорий,</w:t>
      </w:r>
      <w:r>
        <w:t xml:space="preserve"> </w:t>
      </w:r>
      <w:r>
        <w:rPr>
          <w:iCs/>
          <w:color w:val="000000" w:themeColor="text1"/>
          <w:sz w:val="28"/>
        </w:rPr>
        <w:t xml:space="preserve">указанных в пункте 1 части 1 с</w:t>
      </w:r>
      <w:r>
        <w:rPr>
          <w:iCs/>
          <w:color w:val="000000" w:themeColor="text1"/>
          <w:sz w:val="28"/>
        </w:rPr>
        <w:t xml:space="preserve">татьи 8.1 Федерального закона </w:t>
      </w:r>
      <w:r>
        <w:rPr>
          <w:iCs/>
          <w:color w:val="000000" w:themeColor="text1"/>
          <w:sz w:val="28"/>
        </w:rPr>
        <w:t xml:space="preserve">от 17.07.1999 </w:t>
      </w:r>
      <w:r>
        <w:rPr>
          <w:iCs/>
          <w:color w:val="000000" w:themeColor="text1"/>
          <w:sz w:val="28"/>
        </w:rPr>
        <w:t xml:space="preserve">№ </w:t>
      </w:r>
      <w:r>
        <w:rPr>
          <w:iCs/>
          <w:color w:val="000000" w:themeColor="text1"/>
          <w:sz w:val="28"/>
        </w:rPr>
        <w:t xml:space="preserve">178-ФЗ «О государственной социальной помощи»,</w:t>
      </w:r>
      <w:r>
        <w:rPr>
          <w:iCs/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если размер среднедушевого дохода семьи, дохода одиноко проживающего гражданин</w:t>
      </w:r>
      <w:r>
        <w:rPr>
          <w:color w:val="000000" w:themeColor="text1"/>
          <w:sz w:val="28"/>
          <w:szCs w:val="28"/>
          <w:highlight w:val="white"/>
        </w:rPr>
        <w:t xml:space="preserve">а, рассчитанный в соответствии с Федеральным законом от 05.04.2003 № 44-ФЗ 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</w:t>
      </w:r>
      <w:r>
        <w:rPr>
          <w:color w:val="000000" w:themeColor="text1"/>
          <w:sz w:val="28"/>
          <w:szCs w:val="28"/>
          <w:highlight w:val="white"/>
        </w:rPr>
        <w:t xml:space="preserve">, по независящим от них причинам ниже величины прожиточного минимума на душу населения, установленного в Новосибирской области в соответствии с Федеральным законом от 24.10.1997 № 134-ФЗ «О прожиточном минимуме в Российской Федерации» на дату обращения за </w:t>
      </w:r>
      <w:r>
        <w:rPr>
          <w:color w:val="000000" w:themeColor="text1"/>
          <w:sz w:val="28"/>
          <w:szCs w:val="28"/>
        </w:rPr>
        <w:t xml:space="preserve">Услугой</w:t>
      </w:r>
      <w:r>
        <w:rPr>
          <w:iCs/>
          <w:color w:val="000000" w:themeColor="text1"/>
          <w:sz w:val="28"/>
        </w:rPr>
        <w:t xml:space="preserve">;</w:t>
      </w:r>
    </w:p>
    <w:p>
      <w:pPr>
        <w:pStyle w:val="1072"/>
        <w:spacing w:before="0" w:beforeAutospacing="0" w:after="0" w:afterAutospacing="0" w:line="288" w:lineRule="atLeast"/>
        <w:ind w:firstLine="540"/>
        <w:jc w:val="both"/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участники</w:t>
      </w:r>
      <w:r>
        <w:rPr>
          <w:sz w:val="28"/>
          <w:szCs w:val="28"/>
        </w:rPr>
        <w:t xml:space="preserve"> спе</w:t>
      </w:r>
      <w:r>
        <w:rPr>
          <w:sz w:val="28"/>
          <w:szCs w:val="28"/>
        </w:rPr>
        <w:t xml:space="preserve">циальной военной операции</w:t>
      </w:r>
      <w:r>
        <w:rPr>
          <w:rStyle w:val="1075"/>
          <w:sz w:val="28"/>
          <w:szCs w:val="28"/>
        </w:rPr>
        <w:footnoteReference w:id="2"/>
      </w:r>
      <w:r>
        <w:rPr>
          <w:sz w:val="28"/>
          <w:szCs w:val="28"/>
        </w:rPr>
        <w:t xml:space="preserve"> и иные лица, указанные</w:t>
      </w:r>
      <w:r>
        <w:rPr>
          <w:sz w:val="28"/>
          <w:szCs w:val="28"/>
        </w:rPr>
        <w:t xml:space="preserve"> в части 1 статьи 8.2</w:t>
      </w:r>
      <w:r>
        <w:t xml:space="preserve"> </w:t>
      </w:r>
      <w:r>
        <w:rPr>
          <w:iCs/>
          <w:color w:val="000000" w:themeColor="text1"/>
          <w:sz w:val="28"/>
        </w:rPr>
        <w:t xml:space="preserve">Федерального закона </w:t>
      </w:r>
      <w:r>
        <w:rPr>
          <w:iCs/>
          <w:color w:val="000000" w:themeColor="text1"/>
          <w:sz w:val="28"/>
        </w:rPr>
        <w:t xml:space="preserve">от 17.07.1999 </w:t>
      </w:r>
      <w:r>
        <w:rPr>
          <w:iCs/>
          <w:color w:val="000000" w:themeColor="text1"/>
          <w:sz w:val="28"/>
        </w:rPr>
        <w:t xml:space="preserve">№ </w:t>
      </w:r>
      <w:r>
        <w:rPr>
          <w:iCs/>
          <w:color w:val="000000" w:themeColor="text1"/>
          <w:sz w:val="28"/>
        </w:rPr>
        <w:t xml:space="preserve">178-ФЗ «О государственной социальной помощи»</w:t>
      </w:r>
      <w:r>
        <w:rPr>
          <w:rStyle w:val="1075"/>
          <w:iCs/>
          <w:color w:val="000000" w:themeColor="text1"/>
          <w:sz w:val="28"/>
        </w:rPr>
        <w:footnoteReference w:id="3"/>
      </w:r>
      <w:r>
        <w:rPr>
          <w:iCs/>
          <w:sz w:val="28"/>
        </w:rPr>
        <w:t xml:space="preserve">.</w:t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Данные категории заявителей указаны в приложении</w:t>
      </w:r>
      <w:r>
        <w:rPr>
          <w:iCs/>
          <w:sz w:val="28"/>
        </w:rPr>
        <w:t xml:space="preserve"> к настоящему Административному регламенту.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25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Услуга должна быть предоставлена заявителю в соответствии с </w:t>
      </w:r>
      <w:r>
        <w:rPr>
          <w:iCs/>
          <w:sz w:val="28"/>
          <w:szCs w:val="28"/>
        </w:rPr>
        <w:t xml:space="preserve">категориями (признаками) заявителя</w:t>
      </w:r>
      <w:r>
        <w:rPr>
          <w:iCs/>
          <w:sz w:val="28"/>
          <w:szCs w:val="28"/>
        </w:rPr>
        <w:t xml:space="preserve">, </w:t>
      </w:r>
      <w:r>
        <w:rPr>
          <w:iCs/>
          <w:color w:val="000000" w:themeColor="text1"/>
          <w:sz w:val="28"/>
          <w:szCs w:val="28"/>
        </w:rPr>
        <w:t xml:space="preserve">сведения о которых размещаются в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федеральной государственной информационной системе «Федеральный реестр государственных и муниципальных услуг (функций)» </w:t>
      </w:r>
      <w:r>
        <w:rPr>
          <w:iCs/>
          <w:color w:val="000000" w:themeColor="text1"/>
          <w:sz w:val="28"/>
          <w:szCs w:val="28"/>
        </w:rPr>
        <w:t xml:space="preserve">и в федеральной </w:t>
      </w:r>
      <w:r>
        <w:rPr>
          <w:iCs/>
          <w:color w:val="000000" w:themeColor="text1"/>
          <w:sz w:val="28"/>
          <w:szCs w:val="28"/>
        </w:rPr>
        <w:t xml:space="preserve">государственной информационной системе «Единый портал государственных и муниципальных услуг (функций)»</w:t>
      </w:r>
      <w:r>
        <w:rPr>
          <w:color w:val="000000" w:themeColor="text1"/>
          <w:vertAlign w:val="superscript"/>
        </w:rPr>
        <w:footnoteReference w:id="4"/>
      </w:r>
      <w:r>
        <w:rPr>
          <w:iCs/>
          <w:color w:val="000000" w:themeColor="text1"/>
          <w:sz w:val="28"/>
          <w:szCs w:val="28"/>
        </w:rPr>
        <w:t xml:space="preserve"> (далее – Единый портал).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II. Стандарт предоставления Услуги</w:t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Наименование Услуги</w:t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pStyle w:val="1060"/>
        <w:numPr>
          <w:numId w:val="25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sz w:val="28"/>
          <w:szCs w:val="28"/>
        </w:rPr>
      </w:pPr>
      <w:r>
        <w:rPr>
          <w:iCs/>
          <w:color w:val="000000" w:themeColor="text1"/>
          <w:sz w:val="28"/>
          <w:szCs w:val="28"/>
          <w:lang w:val="en-US"/>
        </w:rPr>
        <w:t xml:space="preserve">Заключение</w:t>
      </w:r>
      <w:r>
        <w:rPr>
          <w:iCs/>
          <w:color w:val="000000" w:themeColor="text1"/>
          <w:sz w:val="28"/>
          <w:szCs w:val="28"/>
          <w:lang w:val="en-US"/>
        </w:rPr>
        <w:t xml:space="preserve"> </w:t>
      </w:r>
      <w:r>
        <w:rPr>
          <w:iCs/>
          <w:color w:val="000000" w:themeColor="text1"/>
          <w:sz w:val="28"/>
          <w:szCs w:val="28"/>
          <w:lang w:val="en-US"/>
        </w:rPr>
        <w:t xml:space="preserve">социального</w:t>
      </w:r>
      <w:r>
        <w:rPr>
          <w:iCs/>
          <w:color w:val="000000" w:themeColor="text1"/>
          <w:sz w:val="28"/>
          <w:szCs w:val="28"/>
          <w:lang w:val="en-US"/>
        </w:rPr>
        <w:t xml:space="preserve"> </w:t>
      </w:r>
      <w:r>
        <w:rPr>
          <w:iCs/>
          <w:color w:val="000000" w:themeColor="text1"/>
          <w:sz w:val="28"/>
          <w:szCs w:val="28"/>
          <w:lang w:val="en-US"/>
        </w:rPr>
        <w:t xml:space="preserve">контракта</w:t>
      </w:r>
      <w:r>
        <w:rPr>
          <w:iCs/>
          <w:color w:val="000000" w:themeColor="text1"/>
          <w:sz w:val="28"/>
          <w:szCs w:val="28"/>
        </w:rPr>
        <w:t xml:space="preserve">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Наименование органа, предоставляющего Услугу</w:t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pStyle w:val="1060"/>
        <w:numPr>
          <w:numId w:val="25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Услугу </w:t>
      </w:r>
      <w:r>
        <w:rPr>
          <w:color w:val="000000" w:themeColor="text1"/>
          <w:sz w:val="28"/>
          <w:szCs w:val="28"/>
        </w:rPr>
        <w:t xml:space="preserve">предоставляет </w:t>
      </w:r>
      <w:r>
        <w:rPr>
          <w:color w:val="000000" w:themeColor="text1"/>
          <w:sz w:val="28"/>
          <w:szCs w:val="28"/>
        </w:rPr>
        <w:t xml:space="preserve">м</w:t>
      </w:r>
      <w:r>
        <w:rPr>
          <w:color w:val="000000" w:themeColor="text1"/>
          <w:sz w:val="28"/>
          <w:szCs w:val="28"/>
        </w:rPr>
        <w:t xml:space="preserve">инистерство труда и социального развития Новосибирской области (далее – Орган власти)</w:t>
      </w:r>
      <w:r>
        <w:rPr>
          <w:iCs/>
          <w:color w:val="000000" w:themeColor="text1"/>
          <w:sz w:val="28"/>
          <w:szCs w:val="28"/>
        </w:rPr>
        <w:t xml:space="preserve">.</w:t>
      </w: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Результат предоставления Услуги</w:t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pStyle w:val="1060"/>
        <w:numPr>
          <w:numId w:val="25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color w:val="000000" w:themeColor="text1"/>
          <w:sz w:val="28"/>
        </w:rPr>
      </w:pPr>
      <w:r>
        <w:rPr>
          <w:iCs/>
          <w:sz w:val="28"/>
        </w:rPr>
        <w:t xml:space="preserve">При обращении заявителя за </w:t>
      </w:r>
      <w:r>
        <w:rPr>
          <w:iCs/>
          <w:color w:val="000000" w:themeColor="text1"/>
          <w:sz w:val="28"/>
        </w:rPr>
        <w:t xml:space="preserve">оказанием государственной социальной помощи на основании социального контракта результатами предоставления Услуги являются: 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а</w:t>
      </w:r>
      <w:r>
        <w:rPr>
          <w:iCs/>
          <w:color w:val="000000" w:themeColor="text1"/>
          <w:sz w:val="28"/>
        </w:rPr>
        <w:t xml:space="preserve">) решение о предоставлении Услуги (</w:t>
      </w:r>
      <w:r>
        <w:rPr>
          <w:iCs/>
          <w:color w:val="000000" w:themeColor="text1"/>
          <w:sz w:val="28"/>
        </w:rPr>
        <w:t xml:space="preserve">д</w:t>
      </w:r>
      <w:r>
        <w:rPr>
          <w:iCs/>
          <w:color w:val="000000" w:themeColor="text1"/>
          <w:sz w:val="28"/>
        </w:rPr>
        <w:t xml:space="preserve">окумент на бумажном носителе и</w:t>
      </w:r>
      <w:r>
        <w:rPr>
          <w:iCs/>
          <w:color w:val="000000" w:themeColor="text1"/>
          <w:sz w:val="28"/>
        </w:rPr>
        <w:t xml:space="preserve"> в форме электронного документа</w:t>
      </w:r>
      <w:r>
        <w:rPr>
          <w:iCs/>
          <w:color w:val="000000" w:themeColor="text1"/>
          <w:sz w:val="28"/>
        </w:rPr>
        <w:t xml:space="preserve">);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б</w:t>
      </w:r>
      <w:r>
        <w:rPr>
          <w:iCs/>
          <w:color w:val="000000" w:themeColor="text1"/>
          <w:sz w:val="28"/>
        </w:rPr>
        <w:t xml:space="preserve">) решение об отказе в предоставлении Услуги (</w:t>
      </w:r>
      <w:r>
        <w:rPr>
          <w:iCs/>
          <w:color w:val="000000" w:themeColor="text1"/>
          <w:sz w:val="28"/>
        </w:rPr>
        <w:t xml:space="preserve">до</w:t>
      </w:r>
      <w:r>
        <w:rPr>
          <w:iCs/>
          <w:color w:val="000000" w:themeColor="text1"/>
          <w:sz w:val="28"/>
        </w:rPr>
        <w:t xml:space="preserve">кумент на бумажном носителе и </w:t>
      </w:r>
      <w:r>
        <w:rPr>
          <w:iCs/>
          <w:color w:val="000000" w:themeColor="text1"/>
          <w:sz w:val="28"/>
        </w:rPr>
        <w:t xml:space="preserve">в форме электронного документа</w:t>
      </w:r>
      <w:r>
        <w:rPr>
          <w:iCs/>
          <w:color w:val="000000" w:themeColor="text1"/>
          <w:sz w:val="28"/>
        </w:rPr>
        <w:t xml:space="preserve">).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sz w:val="28"/>
          <w:szCs w:val="28"/>
        </w:rPr>
      </w:pPr>
      <w:r>
        <w:rPr>
          <w:iCs/>
          <w:sz w:val="28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iCs/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iCs/>
          <w:sz w:val="28"/>
        </w:rPr>
        <w:t xml:space="preserve">7. </w:t>
      </w:r>
      <w:r>
        <w:rPr>
          <w:iCs/>
          <w:sz w:val="28"/>
        </w:rPr>
        <w:t xml:space="preserve">При обращении заявителя за </w:t>
      </w:r>
      <w:r>
        <w:rPr>
          <w:iCs/>
          <w:color w:val="000000" w:themeColor="text1"/>
          <w:sz w:val="28"/>
        </w:rPr>
        <w:t xml:space="preserve">изменением способа доставки государственной социальной помощи на основании социального контракта</w:t>
      </w:r>
      <w:r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 xml:space="preserve">включая изменение реквизитов счета в кредитной организации)</w:t>
      </w:r>
      <w:r>
        <w:rPr>
          <w:color w:val="000000" w:themeColor="text1"/>
          <w:sz w:val="28"/>
          <w:szCs w:val="28"/>
        </w:rPr>
        <w:t xml:space="preserve">.</w:t>
      </w:r>
      <w:r>
        <w:rPr>
          <w:iCs/>
          <w:color w:val="000000" w:themeColor="text1"/>
          <w:sz w:val="28"/>
        </w:rPr>
        <w:t xml:space="preserve">результатом предоставления Услуги является решение о предоставлении (об отказе </w:t>
      </w:r>
      <w:r>
        <w:rPr>
          <w:iCs/>
          <w:color w:val="000000" w:themeColor="text1"/>
          <w:sz w:val="28"/>
        </w:rPr>
        <w:t xml:space="preserve">в предоставлении</w:t>
      </w:r>
      <w:r>
        <w:rPr>
          <w:iCs/>
          <w:color w:val="000000" w:themeColor="text1"/>
          <w:sz w:val="28"/>
        </w:rPr>
        <w:t xml:space="preserve">) Услуги (до</w:t>
      </w:r>
      <w:r>
        <w:rPr>
          <w:iCs/>
          <w:color w:val="000000" w:themeColor="text1"/>
          <w:sz w:val="28"/>
        </w:rPr>
        <w:t xml:space="preserve">кумент на бумажном носителе и </w:t>
      </w:r>
      <w:r>
        <w:rPr>
          <w:iCs/>
          <w:color w:val="000000" w:themeColor="text1"/>
          <w:sz w:val="28"/>
        </w:rPr>
        <w:t xml:space="preserve">в форме электронного документа). </w:t>
      </w:r>
      <w:r>
        <w:rPr>
          <w:iCs/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sz w:val="28"/>
          <w:szCs w:val="28"/>
        </w:rPr>
      </w:pPr>
      <w:r>
        <w:rPr>
          <w:iCs/>
          <w:sz w:val="28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iCs/>
          <w:sz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iCs/>
          <w:sz w:val="28"/>
        </w:rPr>
        <w:t xml:space="preserve">8. </w:t>
      </w:r>
      <w:r>
        <w:rPr>
          <w:iCs/>
          <w:sz w:val="28"/>
        </w:rPr>
        <w:t xml:space="preserve">При обращении заявителя </w:t>
      </w:r>
      <w:r>
        <w:rPr>
          <w:iCs/>
          <w:color w:val="000000" w:themeColor="text1"/>
          <w:sz w:val="28"/>
        </w:rPr>
        <w:t xml:space="preserve">за отзывом ранее поданного заявления о </w:t>
      </w:r>
      <w:r>
        <w:rPr>
          <w:iCs/>
          <w:color w:val="000000" w:themeColor="text1"/>
          <w:sz w:val="28"/>
        </w:rPr>
        <w:t xml:space="preserve">предоставлении</w:t>
      </w:r>
      <w:r>
        <w:rPr>
          <w:iCs/>
          <w:color w:val="000000" w:themeColor="text1"/>
          <w:sz w:val="28"/>
        </w:rPr>
        <w:t xml:space="preserve"> </w:t>
      </w:r>
      <w:r>
        <w:rPr>
          <w:iCs/>
          <w:color w:val="000000" w:themeColor="text1"/>
          <w:sz w:val="28"/>
        </w:rPr>
        <w:t xml:space="preserve">Услуги</w:t>
      </w:r>
      <w:r>
        <w:rPr>
          <w:iCs/>
          <w:color w:val="000000" w:themeColor="text1"/>
          <w:sz w:val="28"/>
        </w:rPr>
        <w:t xml:space="preserve"> </w:t>
      </w:r>
      <w:r>
        <w:rPr>
          <w:iCs/>
          <w:color w:val="000000" w:themeColor="text1"/>
          <w:sz w:val="28"/>
        </w:rPr>
        <w:t xml:space="preserve">или</w:t>
      </w:r>
      <w:r>
        <w:rPr>
          <w:iCs/>
          <w:color w:val="000000" w:themeColor="text1"/>
          <w:sz w:val="28"/>
        </w:rPr>
        <w:t xml:space="preserve"> о прекращении Услуги до принятия решения о назначении или прекращении Услуги,</w:t>
      </w:r>
      <w:r>
        <w:rPr>
          <w:iCs/>
          <w:color w:val="000000" w:themeColor="text1"/>
          <w:sz w:val="28"/>
        </w:rPr>
        <w:t xml:space="preserve"> результатом предоставления Услуги </w:t>
      </w:r>
      <w:r>
        <w:rPr>
          <w:iCs/>
          <w:color w:val="000000" w:themeColor="text1"/>
          <w:sz w:val="28"/>
        </w:rPr>
        <w:t xml:space="preserve">является уведомление</w:t>
      </w:r>
      <w:r>
        <w:rPr>
          <w:iCs/>
          <w:color w:val="000000" w:themeColor="text1"/>
          <w:sz w:val="28"/>
        </w:rPr>
        <w:t xml:space="preserve"> о прекращении рассмо</w:t>
      </w:r>
      <w:r>
        <w:rPr>
          <w:iCs/>
          <w:color w:val="000000" w:themeColor="text1"/>
          <w:sz w:val="28"/>
        </w:rPr>
        <w:t xml:space="preserve">трения заяв</w:t>
      </w:r>
      <w:r>
        <w:rPr>
          <w:iCs/>
          <w:color w:val="000000" w:themeColor="text1"/>
          <w:sz w:val="28"/>
        </w:rPr>
        <w:t xml:space="preserve">ления</w:t>
      </w:r>
      <w:r>
        <w:rPr>
          <w:iCs/>
          <w:color w:val="000000" w:themeColor="text1"/>
          <w:sz w:val="28"/>
        </w:rPr>
        <w:t xml:space="preserve"> (письменная форма</w:t>
      </w:r>
      <w:r>
        <w:rPr>
          <w:iCs/>
          <w:color w:val="000000" w:themeColor="text1"/>
          <w:sz w:val="28"/>
        </w:rPr>
        <w:t xml:space="preserve"> по требованию заявителя). </w:t>
      </w:r>
      <w:r>
        <w:rPr>
          <w:iCs/>
          <w:sz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sz w:val="28"/>
        </w:rPr>
      </w:pPr>
      <w:r>
        <w:rPr>
          <w:iCs/>
          <w:sz w:val="28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63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sz w:val="28"/>
        </w:rPr>
      </w:pPr>
      <w:r>
        <w:rPr>
          <w:iCs/>
          <w:sz w:val="28"/>
        </w:rPr>
        <w:t xml:space="preserve">Результаты предоставления Услуги могут быть получены </w:t>
      </w:r>
      <w:r>
        <w:rPr>
          <w:color w:val="000000" w:themeColor="text1"/>
          <w:sz w:val="28"/>
          <w:szCs w:val="28"/>
        </w:rPr>
        <w:t xml:space="preserve">посредством Единого портала, в Органе власти.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sz w:val="28"/>
        </w:rPr>
      </w:pPr>
      <w:r>
        <w:rPr>
          <w:b/>
          <w:iCs/>
          <w:sz w:val="28"/>
        </w:rPr>
      </w:r>
      <w:r>
        <w:rPr>
          <w:b/>
          <w:iCs/>
          <w:sz w:val="28"/>
        </w:rPr>
      </w:r>
      <w:r>
        <w:rPr>
          <w:b/>
          <w:iCs/>
          <w:sz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sz w:val="28"/>
        </w:rPr>
      </w:pPr>
      <w:r>
        <w:rPr>
          <w:b/>
          <w:iCs/>
          <w:sz w:val="28"/>
        </w:rPr>
        <w:t xml:space="preserve">Срок предоставления Услуги</w:t>
      </w:r>
      <w:r>
        <w:rPr>
          <w:b/>
          <w:iCs/>
          <w:sz w:val="28"/>
        </w:rPr>
      </w:r>
      <w:r>
        <w:rPr>
          <w:b/>
          <w:iCs/>
          <w:sz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iCs/>
          <w:sz w:val="28"/>
        </w:rPr>
      </w:pPr>
      <w:r>
        <w:rPr>
          <w:b/>
          <w:iCs/>
          <w:sz w:val="28"/>
        </w:rPr>
      </w:r>
      <w:r>
        <w:rPr>
          <w:b/>
          <w:iCs/>
          <w:sz w:val="28"/>
        </w:rPr>
      </w:r>
      <w:r>
        <w:rPr>
          <w:b/>
          <w:iCs/>
          <w:sz w:val="28"/>
        </w:rPr>
      </w:r>
    </w:p>
    <w:p>
      <w:pPr>
        <w:pStyle w:val="1060"/>
        <w:numPr>
          <w:numId w:val="63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Максимальный срок предоставления Услуги, исчисляемый с даты регистрации запроса о предоставлении Услуги (далее – заявление) и документов, </w:t>
      </w:r>
      <w:r>
        <w:rPr>
          <w:iCs/>
          <w:color w:val="auto"/>
          <w:sz w:val="28"/>
        </w:rPr>
        <w:t xml:space="preserve">необходимых для пре</w:t>
      </w:r>
      <w:r>
        <w:rPr>
          <w:iCs/>
          <w:color w:val="auto"/>
          <w:sz w:val="28"/>
        </w:rPr>
        <w:t xml:space="preserve">доставления Услуги, составляет </w:t>
      </w:r>
      <w:r>
        <w:rPr>
          <w:iCs/>
          <w:color w:val="auto"/>
          <w:sz w:val="28"/>
        </w:rPr>
        <w:t xml:space="preserve">30 рабочий день</w:t>
      </w:r>
      <w:r>
        <w:rPr>
          <w:rStyle w:val="1075"/>
          <w:iCs/>
          <w:color w:val="auto"/>
          <w:sz w:val="28"/>
        </w:rPr>
        <w:footnoteReference w:id="5"/>
      </w:r>
      <w:r>
        <w:rPr>
          <w:iCs/>
          <w:color w:val="auto"/>
          <w:sz w:val="28"/>
        </w:rPr>
        <w:t xml:space="preserve"> </w:t>
      </w:r>
      <w:r>
        <w:rPr>
          <w:color w:val="auto"/>
          <w:sz w:val="28"/>
          <w:szCs w:val="28"/>
        </w:rPr>
        <w:t xml:space="preserve">независимо от категории (признаков) заявителя – при обращении заявителя</w:t>
      </w:r>
      <w:r>
        <w:rPr>
          <w:iCs/>
          <w:color w:val="000000" w:themeColor="text1"/>
          <w:sz w:val="28"/>
        </w:rPr>
        <w:t xml:space="preserve"> в Органе власти</w:t>
      </w:r>
      <w:r>
        <w:rPr>
          <w:iCs/>
          <w:color w:val="000000" w:themeColor="text1"/>
          <w:sz w:val="28"/>
        </w:rPr>
        <w:t xml:space="preserve">, </w:t>
      </w:r>
      <w:r>
        <w:rPr>
          <w:iCs/>
          <w:color w:val="000000" w:themeColor="text1"/>
          <w:sz w:val="28"/>
        </w:rPr>
        <w:t xml:space="preserve">в МФЦ</w:t>
      </w:r>
      <w:r>
        <w:rPr>
          <w:iCs/>
          <w:color w:val="000000" w:themeColor="text1"/>
          <w:sz w:val="28"/>
        </w:rPr>
        <w:t xml:space="preserve">, </w:t>
      </w:r>
      <w:r>
        <w:rPr>
          <w:iCs/>
          <w:color w:val="000000" w:themeColor="text1"/>
          <w:sz w:val="28"/>
        </w:rPr>
        <w:t xml:space="preserve">посредством Единого портала. </w:t>
      </w: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851" w:right="-1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Исчерпывающий </w:t>
      </w:r>
      <w:r>
        <w:rPr>
          <w:b/>
          <w:iCs/>
          <w:sz w:val="28"/>
        </w:rPr>
        <w:t xml:space="preserve">перечень</w:t>
      </w:r>
      <w:r>
        <w:rPr>
          <w:b/>
          <w:sz w:val="28"/>
          <w:szCs w:val="28"/>
        </w:rPr>
        <w:t xml:space="preserve"> оснований для отказа в приеме</w:t>
      </w:r>
      <w:r>
        <w:br/>
      </w:r>
      <w:r>
        <w:rPr>
          <w:b/>
          <w:sz w:val="28"/>
          <w:szCs w:val="28"/>
        </w:rPr>
        <w:t xml:space="preserve">заявления</w:t>
      </w:r>
      <w:r>
        <w:rPr>
          <w:b/>
          <w:sz w:val="28"/>
          <w:szCs w:val="28"/>
        </w:rPr>
        <w:t xml:space="preserve"> и документов, необходимых для предоставления Услуги</w:t>
      </w:r>
      <w:r>
        <w:rPr>
          <w:b/>
          <w:sz w:val="28"/>
          <w:szCs w:val="28"/>
        </w:rPr>
        <w:t xml:space="preserve">,</w:t>
      </w:r>
      <w:r>
        <w:rPr>
          <w:b/>
          <w:sz w:val="28"/>
          <w:szCs w:val="28"/>
        </w:rPr>
        <w:t xml:space="preserve"> и исчерпывающий перечень оснований для приостановления предоставления Услуги или для отказа в предоставлении Услуги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60"/>
        <w:numPr>
          <w:numId w:val="63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Решение </w:t>
      </w:r>
      <w:r>
        <w:rPr>
          <w:color w:val="000000" w:themeColor="text1"/>
          <w:sz w:val="28"/>
          <w:szCs w:val="28"/>
        </w:rPr>
        <w:t xml:space="preserve">об отказе в приеме заявления и документов, необходимых для предоставления услуги, принимает МФЦ при наличии следующего основания – </w:t>
      </w:r>
      <w:r>
        <w:rPr>
          <w:iCs/>
          <w:color w:val="000000" w:themeColor="text1"/>
          <w:sz w:val="28"/>
        </w:rPr>
        <w:t xml:space="preserve">неустановление</w:t>
      </w:r>
      <w:r>
        <w:rPr>
          <w:iCs/>
          <w:color w:val="000000" w:themeColor="text1"/>
          <w:sz w:val="28"/>
        </w:rPr>
        <w:t xml:space="preserve"> личности лица, обратившегося за оказанием Услуги (</w:t>
      </w:r>
      <w:r>
        <w:rPr>
          <w:iCs/>
          <w:color w:val="000000" w:themeColor="text1"/>
          <w:sz w:val="28"/>
        </w:rPr>
        <w:t xml:space="preserve">непредъявление</w:t>
      </w:r>
      <w:r>
        <w:rPr>
          <w:iCs/>
          <w:color w:val="000000" w:themeColor="text1"/>
          <w:sz w:val="28"/>
        </w:rPr>
        <w:t xml:space="preserve"> лицом документа, удостоверяющего его личность, отказ лица предъявить документ, удостоверяющий его личность, предъявление документа, удостоверяющего личность, с истекшим сроком действия).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60"/>
        <w:numPr>
          <w:numId w:val="63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Решение о приостановлении </w:t>
      </w:r>
      <w:r>
        <w:rPr>
          <w:color w:val="auto"/>
          <w:sz w:val="28"/>
          <w:szCs w:val="28"/>
        </w:rPr>
        <w:t xml:space="preserve">предоставления Услуги принимает Орган власти при наличии следующего основания – </w:t>
      </w:r>
      <w:r>
        <w:rPr>
          <w:sz w:val="28"/>
          <w:szCs w:val="28"/>
        </w:rPr>
        <w:t xml:space="preserve">установление</w:t>
      </w:r>
      <w:r>
        <w:rPr>
          <w:sz w:val="28"/>
          <w:szCs w:val="28"/>
        </w:rPr>
        <w:t xml:space="preserve"> факта наличия в заявлении и (или) документах (сведениях), представленных заявителем, недостоверной и (или) неполной информации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60"/>
        <w:numPr>
          <w:numId w:val="63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Решение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отказе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принимает</w:t>
      </w:r>
      <w:r>
        <w:rPr>
          <w:color w:val="7030a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Орган власти </w:t>
      </w: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наличии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оснований</w:t>
      </w:r>
      <w:r>
        <w:rPr>
          <w:sz w:val="28"/>
          <w:szCs w:val="28"/>
        </w:rPr>
        <w:t xml:space="preserve">: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превышение</w:t>
      </w:r>
      <w:r>
        <w:rPr>
          <w:iCs/>
          <w:sz w:val="28"/>
        </w:rPr>
        <w:t xml:space="preserve"> размера среднедушевого дохода семьи или дохода одиноко проживающего гражданина над величиной прожиточного минимума на душу населения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наличие</w:t>
      </w:r>
      <w:r>
        <w:rPr>
          <w:iCs/>
          <w:sz w:val="28"/>
        </w:rPr>
        <w:t xml:space="preserve"> в заявлении и (или) документах (сведениях), в том числе в доработанных заявлении и (или) документах (сведениях) в соответствии с пунктом 51 </w:t>
      </w:r>
      <w:r>
        <w:rPr>
          <w:iCs/>
          <w:sz w:val="28"/>
        </w:rPr>
        <w:t xml:space="preserve">Порядка и условий оказания государственной социальной помощи на основании социального контракта, утвержденного постановлением Правительства Новосибирской области от 22.07.2019 № 281-п «Об установлении размера, порядка и условий предоставления социальной пом</w:t>
      </w:r>
      <w:r>
        <w:rPr>
          <w:iCs/>
          <w:sz w:val="28"/>
        </w:rPr>
        <w:t xml:space="preserve">ощи на территории Новосибирской области» (далее - Порядок)</w:t>
      </w:r>
      <w:r>
        <w:rPr>
          <w:iCs/>
          <w:sz w:val="28"/>
        </w:rPr>
        <w:t xml:space="preserve">, недостоверной и (или) неполной информации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  <w:tab w:val="left" w:pos="1134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непредставление</w:t>
      </w:r>
      <w:r>
        <w:rPr>
          <w:iCs/>
          <w:sz w:val="28"/>
        </w:rPr>
        <w:t xml:space="preserve"> заявителем в Орган власти документов (сведений), необходимых для </w:t>
      </w:r>
      <w:r>
        <w:rPr>
          <w:iCs/>
          <w:sz w:val="28"/>
        </w:rPr>
        <w:t xml:space="preserve">предоставления Услуги</w:t>
      </w:r>
      <w:r>
        <w:rPr>
          <w:iCs/>
          <w:sz w:val="28"/>
        </w:rPr>
        <w:t xml:space="preserve"> в</w:t>
      </w:r>
      <w:r>
        <w:rPr>
          <w:iCs/>
          <w:sz w:val="28"/>
        </w:rPr>
        <w:t xml:space="preserve"> сроки, установленные пунктами 40, 41 Порядка</w:t>
      </w:r>
      <w:r>
        <w:rPr>
          <w:iCs/>
          <w:sz w:val="28"/>
          <w:szCs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</w:pPr>
      <w:r>
        <w:rPr>
          <w:iCs/>
          <w:sz w:val="28"/>
        </w:rPr>
        <w:t xml:space="preserve">непредставление</w:t>
      </w:r>
      <w:r>
        <w:rPr>
          <w:iCs/>
          <w:sz w:val="28"/>
        </w:rPr>
        <w:t xml:space="preserve"> заявителем в </w:t>
      </w:r>
      <w:r>
        <w:rPr>
          <w:iCs/>
          <w:sz w:val="28"/>
        </w:rPr>
        <w:t xml:space="preserve">Орган власти </w:t>
      </w:r>
      <w:r>
        <w:rPr>
          <w:iCs/>
          <w:sz w:val="28"/>
        </w:rPr>
        <w:t xml:space="preserve">доработанного заявления о назначении и (или) документов (сведений), необходимых для предоставления Услуги, в сроки, установленные пунктом 51 Порядка</w:t>
      </w:r>
      <w:r>
        <w:rPr>
          <w:iCs/>
          <w:sz w:val="28"/>
        </w:rPr>
        <w:t xml:space="preserve">;</w:t>
      </w:r>
      <w:r>
        <w:rPr>
          <w:bCs/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отсутствие</w:t>
      </w:r>
      <w:r>
        <w:rPr>
          <w:iCs/>
          <w:sz w:val="28"/>
        </w:rPr>
        <w:t xml:space="preserve"> </w:t>
      </w:r>
      <w:r>
        <w:rPr>
          <w:iCs/>
          <w:sz w:val="28"/>
        </w:rPr>
        <w:t xml:space="preserve">в областном бюджете Новосибирской области в текущем финансовом году </w:t>
      </w:r>
      <w:r>
        <w:rPr>
          <w:iCs/>
          <w:sz w:val="28"/>
        </w:rPr>
        <w:t xml:space="preserve">бюджетных ассигнований на заключение новых социальных контрактов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достижение</w:t>
      </w:r>
      <w:r>
        <w:rPr>
          <w:iCs/>
          <w:sz w:val="28"/>
        </w:rPr>
        <w:t xml:space="preserve"> численности получателей Услуги по мероприятию по осуществлению иных мероприятий, направленных на преодоление гражданином тру</w:t>
      </w:r>
      <w:r>
        <w:rPr>
          <w:iCs/>
          <w:sz w:val="28"/>
        </w:rPr>
        <w:t xml:space="preserve">дной жизненной ситуации, установленной Органом власти для центра социальной поддержки населения в целях соблюдения распределения численности получателей Услуги в соответствии с пунктом 87 Порядка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трудоустройство</w:t>
      </w:r>
      <w:r>
        <w:rPr>
          <w:iCs/>
          <w:sz w:val="28"/>
        </w:rPr>
        <w:t xml:space="preserve"> заявителя в период рассмотрения</w:t>
      </w:r>
      <w:r>
        <w:rPr>
          <w:iCs/>
          <w:sz w:val="28"/>
        </w:rPr>
        <w:t xml:space="preserve"> заявления по мероприятию по</w:t>
      </w:r>
      <w:r>
        <w:rPr>
          <w:iCs/>
          <w:sz w:val="28"/>
        </w:rPr>
        <w:t xml:space="preserve"> поиску работы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  <w:tab w:val="left" w:pos="1134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наличие</w:t>
      </w:r>
      <w:r>
        <w:rPr>
          <w:iCs/>
          <w:sz w:val="28"/>
        </w:rPr>
        <w:t xml:space="preserve"> у заявителя (члена его семьи) действующего социального контракта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  <w:tab w:val="left" w:pos="1134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отзыв</w:t>
      </w:r>
      <w:r>
        <w:rPr>
          <w:iCs/>
          <w:sz w:val="28"/>
        </w:rPr>
        <w:t xml:space="preserve"> з</w:t>
      </w:r>
      <w:r>
        <w:rPr>
          <w:iCs/>
          <w:sz w:val="28"/>
        </w:rPr>
        <w:t xml:space="preserve">аявителем заявления</w:t>
      </w:r>
      <w:r>
        <w:rPr>
          <w:iCs/>
          <w:sz w:val="28"/>
        </w:rPr>
        <w:t xml:space="preserve"> до принятия решения о </w:t>
      </w:r>
      <w:r>
        <w:rPr>
          <w:iCs/>
          <w:sz w:val="28"/>
        </w:rPr>
        <w:t xml:space="preserve">предоставлении Услуги</w:t>
      </w:r>
      <w:r>
        <w:rPr>
          <w:iCs/>
          <w:sz w:val="28"/>
        </w:rPr>
        <w:t xml:space="preserve"> в соответствии с пунктом 44 Порядка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  <w:tab w:val="left" w:pos="992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отказ</w:t>
      </w:r>
      <w:r>
        <w:rPr>
          <w:iCs/>
          <w:sz w:val="28"/>
        </w:rPr>
        <w:t xml:space="preserve"> заявителя от подписания социального контракта и программы социальной адаптации или его неявка на подписание социального контракта и программы социальной адаптации, а также </w:t>
      </w:r>
      <w:r>
        <w:rPr>
          <w:iCs/>
          <w:sz w:val="28"/>
        </w:rPr>
        <w:t xml:space="preserve">неподписание</w:t>
      </w:r>
      <w:r>
        <w:rPr>
          <w:iCs/>
          <w:sz w:val="28"/>
        </w:rPr>
        <w:t xml:space="preserve"> социального контракта и программы социальной адаптации в указанный центром социальной поддержки населения срок в случае их направления на подписание через Единый портал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наличие</w:t>
      </w:r>
      <w:r>
        <w:rPr>
          <w:iCs/>
          <w:sz w:val="28"/>
        </w:rPr>
        <w:t xml:space="preserve"> у заявителя непогашенной задолженности перед центром социальной поддержки населения, в том числе взыскиваемой в судебном порядке, по денежным средствам, выплаченным в соответствии с условиями ранее заключенного социального контракта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отсутствие</w:t>
      </w:r>
      <w:r>
        <w:rPr>
          <w:iCs/>
          <w:sz w:val="28"/>
        </w:rPr>
        <w:t xml:space="preserve"> у заявителя трудной жизненной ситуации или его несоответст</w:t>
      </w:r>
      <w:r>
        <w:rPr>
          <w:iCs/>
          <w:sz w:val="28"/>
        </w:rPr>
        <w:t xml:space="preserve">вие категории семей (одиноко проживающих граждан), которым оказывается Услуга по мероприятию по осуществлению иных мероприятий, направленных на преодоление гражданином трудной жизненной ситуации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неполучение заявителем сертификата или иного документа, подтверждающего успешное прохождение обучения для развития предпринимательских компетенций, который предоставляется в случае, предусмотренном абза</w:t>
      </w:r>
      <w:r>
        <w:rPr>
          <w:iCs/>
          <w:sz w:val="28"/>
        </w:rPr>
        <w:t xml:space="preserve">цем вторым пункта 62 Порядка (при оказании государственной социальной помощи по мероприятиям по осуществлению индивидуальной предпринимательской деятельности, ведению личного подсобного хозяйства), или отказ заявителя от изменения основного мероприятия, пр</w:t>
      </w:r>
      <w:r>
        <w:rPr>
          <w:iCs/>
          <w:sz w:val="28"/>
        </w:rPr>
        <w:t xml:space="preserve">едусмотренного программой социальной адаптации, в случае неполучения заявителем сертификата или иного документа, подтверждающего успешное прохождение обучения для развития предпринимательских компетенций, в соответствии с абзацем четвертым пункта 54 Правил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отказ</w:t>
      </w:r>
      <w:r>
        <w:rPr>
          <w:iCs/>
          <w:sz w:val="28"/>
        </w:rPr>
        <w:t xml:space="preserve"> за</w:t>
      </w:r>
      <w:r>
        <w:rPr>
          <w:iCs/>
          <w:sz w:val="28"/>
        </w:rPr>
        <w:t xml:space="preserve">явителя от прохождения тестирования для определения уровня предпринимательских компетенций при оказании Услуги по мероприятиям по осуществлению индивидуальной предпринимательской деятельности, ведению личного подсобного хозяйства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регистрация заявления Органом власти субъекта Российской Федерации, отличного от субъекта Российской Федерации, в котором </w:t>
      </w:r>
      <w:r>
        <w:rPr>
          <w:iCs/>
          <w:sz w:val="28"/>
        </w:rPr>
        <w:t xml:space="preserve">гражданин зарегистрирован (зарегистрируется) в качестве индивидуального предпринимателя или в котором гражданин зарегистрирован (зарегистрируется) и осуществляет (пла</w:t>
      </w:r>
      <w:r>
        <w:rPr>
          <w:iCs/>
          <w:sz w:val="28"/>
        </w:rPr>
        <w:t xml:space="preserve">нирует осуществлять) свою деятельность в качестве налогоплательщика налога на профессиональный доход в соответствии с пунктом 85 Порядка, по мероприятиям по осуществлению индивидуальной предпринимательской деятельности, ведению личного подсобного хозяйства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согласованное</w:t>
      </w:r>
      <w:r>
        <w:rPr>
          <w:iCs/>
          <w:sz w:val="28"/>
        </w:rPr>
        <w:t xml:space="preserve"> мнение </w:t>
      </w:r>
      <w:r>
        <w:rPr>
          <w:iCs/>
          <w:sz w:val="28"/>
        </w:rPr>
        <w:t xml:space="preserve">межведомственной комиссии по вопросам оказания государственной социальной помощи на основании социального контракта (далее - межведомственная комиссия)</w:t>
      </w:r>
      <w:r>
        <w:rPr>
          <w:iCs/>
          <w:sz w:val="28"/>
        </w:rPr>
        <w:t xml:space="preserve"> о неодобрении социального контракта, программы социальной адаптации и прилагаемых к ней материалов, а также бизнес-плана (сметы расходов)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получе</w:t>
      </w:r>
      <w:r>
        <w:rPr>
          <w:iCs/>
          <w:sz w:val="28"/>
        </w:rPr>
        <w:t xml:space="preserve">ние заявителем от центров занятости населения единовременной финансовой помощи на содействие началу осуществления предпринимательской деятельности безработными гражданами, оказываемой в соответствии с пунктом 4 части 2 статьи 32 Федерального закона от 12.1</w:t>
      </w:r>
      <w:r>
        <w:rPr>
          <w:iCs/>
          <w:sz w:val="28"/>
        </w:rPr>
        <w:t xml:space="preserve">2.2023 № 565-ФЗ «О занятости населения в Российской Федерации», в течение 12 месяцев, предшествующих месяцу подачи заявления по мероприятиям по осуществлению индивидуальной предпринимательской деятельности, ведению личного подсобного хозяйства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подача заявления гражданином (его семьей) в период проведения мониторинга условий жизни семьи (одиноко проживающего гражданина) по завершении ранее заключенного социального контракта, проводимого в соответствии с пунктом 72 Порядка, за искл</w:t>
      </w:r>
      <w:r>
        <w:rPr>
          <w:iCs/>
          <w:sz w:val="28"/>
        </w:rPr>
        <w:t xml:space="preserve">ючением случая вынесения Органом власти решения о целесообразности заключения с гражданином нового социального контракта в период проведения мониторинга условий жизни семьи (одиноко проживающего гражданина) в соответствии с абзацем первым пункта 72 Порядка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подача</w:t>
      </w:r>
      <w:r>
        <w:rPr>
          <w:iCs/>
          <w:sz w:val="28"/>
        </w:rPr>
        <w:t xml:space="preserve"> заявления лицом, признанным судом недееспособным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наличие</w:t>
      </w:r>
      <w:r>
        <w:rPr>
          <w:iCs/>
          <w:sz w:val="28"/>
        </w:rPr>
        <w:t xml:space="preserve"> у граждан, указанных в </w:t>
      </w:r>
      <w:r>
        <w:rPr>
          <w:iCs/>
          <w:sz w:val="28"/>
        </w:rPr>
        <w:t xml:space="preserve">подпунктах</w:t>
      </w:r>
      <w:r>
        <w:rPr>
          <w:iCs/>
          <w:sz w:val="28"/>
        </w:rPr>
        <w:t xml:space="preserve"> 2</w:t>
      </w:r>
      <w:r>
        <w:rPr>
          <w:iCs/>
          <w:sz w:val="28"/>
        </w:rPr>
        <w:t xml:space="preserve">, 3 пункта</w:t>
      </w:r>
      <w:r>
        <w:rPr>
          <w:iCs/>
          <w:sz w:val="28"/>
        </w:rPr>
        <w:t xml:space="preserve"> </w:t>
      </w:r>
      <w:r>
        <w:rPr>
          <w:iCs/>
          <w:sz w:val="28"/>
        </w:rPr>
        <w:t xml:space="preserve">22 Порядка</w:t>
      </w:r>
      <w:r>
        <w:rPr>
          <w:iCs/>
          <w:sz w:val="28"/>
        </w:rPr>
        <w:t xml:space="preserve">, завершенного или действующего </w:t>
      </w:r>
      <w:r>
        <w:rPr>
          <w:iCs/>
          <w:sz w:val="28"/>
        </w:rPr>
        <w:t xml:space="preserve">социального контракта по осуществлению индивидуальной предпринимательской деятельности, в случае их повторного обращения за получением Услуги в соответствии с подпунктами 2 и 3 пункта 22 Порядка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несоответствие направления деятельности, указанного в бизнес-плане, </w:t>
      </w:r>
      <w:r>
        <w:rPr>
          <w:iCs/>
          <w:sz w:val="28"/>
        </w:rPr>
        <w:t xml:space="preserve">утвержденным </w:t>
      </w:r>
      <w:r>
        <w:rPr>
          <w:sz w:val="28"/>
          <w:szCs w:val="28"/>
        </w:rPr>
        <w:t xml:space="preserve">постановлением Правительства Новосибирской области от 22.07.2019</w:t>
      </w:r>
      <w:r>
        <w:rPr>
          <w:sz w:val="28"/>
          <w:szCs w:val="28"/>
        </w:rPr>
        <w:t xml:space="preserve"> № 281-п «Об </w:t>
      </w:r>
      <w:r>
        <w:rPr>
          <w:sz w:val="28"/>
          <w:szCs w:val="28"/>
        </w:rPr>
        <w:t xml:space="preserve">установлении размера, порядка и условий предоставления социальной помощи на территории Новосибирской области» </w:t>
      </w:r>
      <w:r>
        <w:rPr>
          <w:iCs/>
          <w:sz w:val="28"/>
        </w:rPr>
        <w:t xml:space="preserve">приоритетным направлениям</w:t>
      </w:r>
      <w:r>
        <w:rPr>
          <w:iCs/>
          <w:sz w:val="28"/>
        </w:rPr>
        <w:t xml:space="preserve"> деятельности в целях реализации мероприятия по осуществлению индивидуальной п</w:t>
      </w:r>
      <w:r>
        <w:rPr>
          <w:iCs/>
          <w:sz w:val="28"/>
        </w:rPr>
        <w:t xml:space="preserve">редпринимательской деятельности</w:t>
      </w:r>
      <w:r>
        <w:rPr>
          <w:iCs/>
          <w:sz w:val="28"/>
        </w:rPr>
        <w:t xml:space="preserve"> из числа направлений деят</w:t>
      </w:r>
      <w:r>
        <w:rPr>
          <w:iCs/>
          <w:sz w:val="28"/>
        </w:rPr>
        <w:t xml:space="preserve">ельности, содержащихся в перечне направлений деятельности в целях реализации мероприятий по поиску работы, осуществлению индивидуальной предпринимательской деятельности, ведению личного подсобного хозяйства, утверждаемых Министерством труда и социальной за</w:t>
      </w:r>
      <w:r>
        <w:rPr>
          <w:iCs/>
          <w:sz w:val="28"/>
        </w:rPr>
        <w:t xml:space="preserve">щиты Российской Федерации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подача</w:t>
      </w:r>
      <w:r>
        <w:rPr>
          <w:iCs/>
          <w:sz w:val="28"/>
        </w:rPr>
        <w:t xml:space="preserve"> заявления</w:t>
      </w:r>
      <w:r>
        <w:rPr>
          <w:iCs/>
          <w:sz w:val="28"/>
        </w:rPr>
        <w:t xml:space="preserve"> гражданином, который ранее отказался от права на </w:t>
      </w:r>
      <w:r>
        <w:rPr>
          <w:iCs/>
          <w:sz w:val="28"/>
        </w:rPr>
        <w:t xml:space="preserve">предоставление Услуги</w:t>
      </w:r>
      <w:r>
        <w:rPr>
          <w:iCs/>
          <w:sz w:val="28"/>
        </w:rPr>
        <w:t xml:space="preserve"> в случае, предусмотренном подпунктом 3 пункта 22 Порядка, в целях реализации мероприятия по осуществлению индивидуальной предпринимательской деятельности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непредставление гражданином, указанным в </w:t>
      </w:r>
      <w:r>
        <w:rPr>
          <w:iCs/>
          <w:sz w:val="28"/>
        </w:rPr>
        <w:t xml:space="preserve">подпунктах</w:t>
      </w:r>
      <w:r>
        <w:rPr>
          <w:iCs/>
          <w:sz w:val="28"/>
        </w:rPr>
        <w:t xml:space="preserve"> 2</w:t>
      </w:r>
      <w:r>
        <w:rPr>
          <w:iCs/>
          <w:sz w:val="28"/>
        </w:rPr>
        <w:t xml:space="preserve">, 3</w:t>
      </w:r>
      <w:r>
        <w:rPr>
          <w:iCs/>
          <w:sz w:val="28"/>
        </w:rPr>
        <w:t xml:space="preserve"> </w:t>
      </w:r>
      <w:r>
        <w:rPr>
          <w:iCs/>
          <w:sz w:val="28"/>
        </w:rPr>
        <w:t xml:space="preserve">пункта 22 Порядка</w:t>
      </w:r>
      <w:r>
        <w:rPr>
          <w:iCs/>
          <w:sz w:val="28"/>
        </w:rPr>
        <w:t xml:space="preserve">, рекомендации на заключение социального контракта, выдаваемой </w:t>
      </w:r>
      <w:r>
        <w:rPr>
          <w:iCs/>
          <w:sz w:val="28"/>
        </w:rPr>
        <w:t xml:space="preserve">Государственным фондом поддержки участников </w:t>
      </w:r>
      <w:r>
        <w:rPr>
          <w:iCs/>
          <w:sz w:val="28"/>
        </w:rPr>
        <w:t xml:space="preserve">специальной военной операции «Защитники Отечества» (филиалом Государственного фонда поддержки участников специальной военной операции «Защитники Отечества») в соответствии с Правилами выдачи Государственным фондом поддержки участников специальной военной о</w:t>
      </w:r>
      <w:r>
        <w:rPr>
          <w:iCs/>
          <w:sz w:val="28"/>
        </w:rPr>
        <w:t xml:space="preserve">перации «Защитники Отечества» (филиалом Государственного фонда поддержки участников специальной военной операции «Защитники Отечества») рекомендации на заключение социального контракта, утвержденными </w:t>
      </w:r>
      <w:r>
        <w:rPr>
          <w:iCs/>
          <w:sz w:val="28"/>
        </w:rPr>
        <w:t xml:space="preserve">постановлением Правительства Российской Федерации от 16.11.2023 № 1931 «Об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</w:t>
      </w:r>
      <w:r>
        <w:rPr>
          <w:iCs/>
          <w:sz w:val="28"/>
        </w:rPr>
        <w:t xml:space="preserve">нной Федеральным законом «О государственной социальной помощи» (далее – постановление № 1931)</w:t>
      </w:r>
      <w:r>
        <w:rPr>
          <w:iCs/>
          <w:sz w:val="28"/>
        </w:rPr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5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подача</w:t>
      </w:r>
      <w:r>
        <w:rPr>
          <w:iCs/>
          <w:sz w:val="28"/>
        </w:rPr>
        <w:t xml:space="preserve"> заявления</w:t>
      </w:r>
      <w:r>
        <w:rPr>
          <w:iCs/>
          <w:sz w:val="28"/>
        </w:rPr>
        <w:t xml:space="preserve"> новой супругой (супругом) гражданина, который ранее отказался от права на </w:t>
      </w:r>
      <w:r>
        <w:rPr>
          <w:iCs/>
          <w:sz w:val="28"/>
        </w:rPr>
        <w:t xml:space="preserve">предоставление Услуги</w:t>
      </w:r>
      <w:r>
        <w:rPr>
          <w:iCs/>
          <w:sz w:val="28"/>
        </w:rPr>
        <w:t xml:space="preserve"> в соответствии с подпунктом 3 пункта 22 Порядка, в пользу своей предыдущей супруги (супруга), в целях реализации мероприятия по осуществлению индивидуальной предпринимательской деятельности</w:t>
      </w:r>
      <w:r>
        <w:rPr>
          <w:iCs/>
          <w:sz w:val="28"/>
        </w:rPr>
        <w:t xml:space="preserve">.</w:t>
      </w:r>
      <w:r>
        <w:rPr>
          <w:iCs/>
          <w:sz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Дополнительными основаниями для отказа в предоставлении Услуги в случае, когда заявитель ранее являлся полу</w:t>
      </w:r>
      <w:r>
        <w:rPr>
          <w:iCs/>
          <w:sz w:val="28"/>
        </w:rPr>
        <w:t xml:space="preserve">чателем такой Услуги, являются: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8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наличие</w:t>
      </w:r>
      <w:r>
        <w:rPr>
          <w:iCs/>
          <w:sz w:val="28"/>
        </w:rPr>
        <w:t xml:space="preserve"> завершенного социального контракта</w:t>
      </w:r>
      <w:r>
        <w:rPr>
          <w:iCs/>
          <w:sz w:val="28"/>
        </w:rPr>
        <w:t xml:space="preserve"> </w:t>
      </w:r>
      <w:r>
        <w:rPr>
          <w:iCs/>
          <w:sz w:val="28"/>
          <w:szCs w:val="28"/>
        </w:rPr>
        <w:t xml:space="preserve">(</w:t>
      </w:r>
      <w:r>
        <w:rPr>
          <w:sz w:val="28"/>
          <w:szCs w:val="28"/>
        </w:rPr>
        <w:t xml:space="preserve">является дополнительным основанием для отказа в течение 12 месяцев со дня окончания срока действия ранее заключенного социального контракта);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8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непредставление</w:t>
      </w:r>
      <w:r>
        <w:rPr>
          <w:iCs/>
          <w:sz w:val="28"/>
        </w:rPr>
        <w:t xml:space="preserve"> заявителем в Орган власти документов (сведений), необходимых для контроля реализации ранее заключенного социального контракта</w:t>
      </w:r>
      <w:r>
        <w:rPr>
          <w:iCs/>
          <w:sz w:val="28"/>
        </w:rPr>
        <w:t xml:space="preserve"> </w:t>
      </w:r>
      <w:r>
        <w:rPr>
          <w:iCs/>
          <w:sz w:val="28"/>
          <w:szCs w:val="28"/>
        </w:rPr>
        <w:t xml:space="preserve">(</w:t>
      </w:r>
      <w:r>
        <w:rPr>
          <w:sz w:val="28"/>
          <w:szCs w:val="28"/>
        </w:rPr>
        <w:t xml:space="preserve">является дополнительным основанием для отказа в течение 12 месяцев со дня окончания срока действия ранее заключенного социального контракта)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8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прекращение</w:t>
      </w:r>
      <w:r>
        <w:rPr>
          <w:iCs/>
          <w:sz w:val="28"/>
        </w:rPr>
        <w:t xml:space="preserve"> трудов</w:t>
      </w:r>
      <w:r>
        <w:rPr>
          <w:iCs/>
          <w:sz w:val="28"/>
        </w:rPr>
        <w:t xml:space="preserve">ой деятельности на срок более чем один месяц в период действия ранее заключенного социального контракта по мероприятию по поиску работы (за исключением случаев сокращения, увольнения в связи с переездом на новое место жительства и иных уважительных причин)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(</w:t>
      </w:r>
      <w:r>
        <w:rPr>
          <w:sz w:val="28"/>
          <w:szCs w:val="28"/>
        </w:rPr>
        <w:t xml:space="preserve">является дополнительным основанием для отказа в течение 12 месяцев со дня окончания срока действия ранее заключенного социального контракта)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8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прекращение трудовой дея</w:t>
      </w:r>
      <w:r>
        <w:rPr>
          <w:iCs/>
          <w:sz w:val="28"/>
        </w:rPr>
        <w:t xml:space="preserve">тельности в течение 12 месяцев со дня окончания срока действия ранее заключенного социального контракта по мероприятию по поиску работы (за исключением случаев сокращения, увольнения в связи с переездом на новое место жительства и иных уважительных причин)</w:t>
      </w:r>
      <w:r>
        <w:t xml:space="preserve"> </w:t>
      </w:r>
      <w:r>
        <w:rPr>
          <w:sz w:val="28"/>
          <w:szCs w:val="28"/>
        </w:rPr>
        <w:t xml:space="preserve">(является дополнительным основанием для отказа в течение 12 месяцев начиная со дня окончания мониторинга условий жизни семьи (одиноко проживающего гражданина), осуществляемого по завершении ранее заключенного социального контракта)</w:t>
      </w:r>
      <w:r>
        <w:rPr>
          <w:iCs/>
          <w:sz w:val="28"/>
          <w:szCs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8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прекращение государственной регистрации в качестве индивидуального предпринимателя или снятие заявителя, не являющегося индивидуальным предпринимателем, с учета в </w:t>
      </w:r>
      <w:r>
        <w:rPr>
          <w:iCs/>
          <w:sz w:val="28"/>
        </w:rPr>
        <w:t xml:space="preserve">налоговом органе в качестве налогоплательщика налога на профессиональный доход в период действия ранее заключенного социального контракта по мероприятиям по осуществлению индивидуальной предпринимательской деятельности, ведению личного подсобного хозяйства</w:t>
      </w:r>
      <w:r>
        <w:rPr>
          <w:iCs/>
          <w:sz w:val="28"/>
        </w:rPr>
        <w:t xml:space="preserve"> </w:t>
      </w:r>
      <w:r>
        <w:rPr>
          <w:iCs/>
          <w:sz w:val="28"/>
          <w:szCs w:val="28"/>
        </w:rPr>
        <w:t xml:space="preserve">(</w:t>
      </w:r>
      <w:r>
        <w:rPr>
          <w:sz w:val="28"/>
          <w:szCs w:val="28"/>
        </w:rPr>
        <w:t xml:space="preserve">является дополнительным основанием для отказа в течение 12 месяцев со дня окончания срока действия ранее заключенного социального контракта);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8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прекращение государственной регистрации в качестве индивидуального предпринимателя или снятие заявителя, не являющегося индивидуальным предпринимателем, с учета в налоговом органе в качестве налогоп</w:t>
      </w:r>
      <w:r>
        <w:rPr>
          <w:iCs/>
          <w:sz w:val="28"/>
        </w:rPr>
        <w:t xml:space="preserve">лательщика налога на профессиональный доход в течение 12 месяцев со дня окончания срока действия ранее заключенного социального контракта по мероприятиям по осуществлению индивидуальной предпринимательской деятельности, ведению личного подсобного хозяйства</w:t>
      </w:r>
      <w:r>
        <w:rPr>
          <w:iCs/>
          <w:sz w:val="28"/>
        </w:rPr>
        <w:t xml:space="preserve"> </w:t>
      </w:r>
      <w:r>
        <w:rPr>
          <w:sz w:val="28"/>
          <w:szCs w:val="28"/>
        </w:rPr>
        <w:t xml:space="preserve">(является дополнительным основанием для отказа в течение 12 месяцев начиная со дня окончания мониторинга условий жизни семьи (одиноко проживающего гражданина), осуществляемого по завершении ранее заключенного социального контракта)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8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нецелевое использование получателем социальной помощи денежных средств, выплаченных в соответствии с условиями ран</w:t>
      </w:r>
      <w:r>
        <w:rPr>
          <w:iCs/>
          <w:sz w:val="28"/>
        </w:rPr>
        <w:t xml:space="preserve">ее заключенного социального контракта по мероприятиям по осуществлению индивидуальной предпринимательской деятельности, ведению личного подсобного хозяйства, осуществлению иных мероприятий, направленных на преодоление гражданином трудной жизненной ситуации</w:t>
      </w:r>
      <w:r>
        <w:rPr>
          <w:iCs/>
          <w:sz w:val="28"/>
        </w:rPr>
        <w:t xml:space="preserve"> </w:t>
      </w:r>
      <w:r>
        <w:rPr>
          <w:iCs/>
          <w:sz w:val="28"/>
          <w:szCs w:val="28"/>
        </w:rPr>
        <w:t xml:space="preserve">(</w:t>
      </w:r>
      <w:r>
        <w:rPr>
          <w:sz w:val="28"/>
          <w:szCs w:val="28"/>
        </w:rPr>
        <w:t xml:space="preserve">является дополнительным основанием для отказа в течение 12 месяцев со дня окончания срока действия ранее заключенного социального контракта)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8"/>
          <w:ilvl w:val="0"/>
        </w:numPr>
        <w:tabs>
          <w:tab w:val="left" w:pos="284" w:leader="none"/>
          <w:tab w:val="left" w:pos="850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неисполнение (несвоевременное исполнение) получателем социальной помощи мероприятий программы социальной адаптации по причинам, не входящим в перече</w:t>
      </w:r>
      <w:r>
        <w:rPr>
          <w:iCs/>
          <w:sz w:val="28"/>
        </w:rPr>
        <w:t xml:space="preserve">нь причин, являющихся уважительными в случае неисполнения получателем Услуги мероприятий программы социальной адаптации, утверждаемых Министерством труда и социальной защиты Российской Федерации</w:t>
      </w:r>
      <w:r>
        <w:rPr>
          <w:iCs/>
          <w:sz w:val="28"/>
        </w:rPr>
        <w:t xml:space="preserve"> </w:t>
      </w:r>
      <w:r>
        <w:rPr>
          <w:iCs/>
          <w:sz w:val="28"/>
          <w:szCs w:val="28"/>
        </w:rPr>
        <w:t xml:space="preserve">(</w:t>
      </w:r>
      <w:r>
        <w:rPr>
          <w:sz w:val="28"/>
          <w:szCs w:val="28"/>
        </w:rPr>
        <w:t xml:space="preserve">является дополнительным основанием для отказа в течение 12 месяцев со дня окончания срока действия ранее заключенного социального контракта)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8"/>
          <w:ilvl w:val="0"/>
        </w:numPr>
        <w:tabs>
          <w:tab w:val="left" w:pos="284" w:leader="none"/>
          <w:tab w:val="left" w:pos="850" w:leader="none"/>
          <w:tab w:val="left" w:pos="1276" w:leader="none"/>
        </w:tabs>
        <w:ind w:left="0" w:right="-1" w:firstLine="709"/>
        <w:jc w:val="both"/>
        <w:rPr>
          <w:iCs/>
          <w:sz w:val="28"/>
        </w:rPr>
      </w:pPr>
      <w:r>
        <w:rPr>
          <w:iCs/>
          <w:sz w:val="28"/>
        </w:rPr>
        <w:t xml:space="preserve">полное</w:t>
      </w:r>
      <w:r>
        <w:rPr>
          <w:iCs/>
          <w:sz w:val="28"/>
        </w:rPr>
        <w:t xml:space="preserve"> отсутствие налоговых отчислений в течение 12 месяцев со дня окончания срока действия ранее заключенного социального контракта по мероприятиям по осуществлению индивидуальной предпринимательской деятельности, ведению личного подсобного хозяйства</w:t>
      </w:r>
      <w:r>
        <w:rPr>
          <w:iCs/>
          <w:sz w:val="28"/>
        </w:rPr>
        <w:t xml:space="preserve"> </w:t>
      </w:r>
      <w:r>
        <w:rPr>
          <w:sz w:val="28"/>
          <w:szCs w:val="28"/>
        </w:rPr>
        <w:t xml:space="preserve">(является дополнительным основанием для отказа в течение 12 месяцев начиная со дня окончания мониторинга условий жизни семьи (одиноко проживающего гражданина), осуществляемого по завершении ранее заключенного социального контракта)</w:t>
      </w:r>
      <w:r>
        <w:rPr>
          <w:iCs/>
          <w:sz w:val="28"/>
        </w:rPr>
        <w:t xml:space="preserve">;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48"/>
          <w:ilvl w:val="0"/>
        </w:numPr>
        <w:tabs>
          <w:tab w:val="left" w:pos="284" w:leader="none"/>
          <w:tab w:val="left" w:pos="1276" w:leader="none"/>
        </w:tabs>
        <w:ind w:left="0" w:right="-1" w:firstLine="992"/>
        <w:jc w:val="both"/>
        <w:rPr>
          <w:iCs/>
          <w:sz w:val="28"/>
        </w:rPr>
      </w:pPr>
      <w:r>
        <w:rPr>
          <w:iCs/>
          <w:sz w:val="28"/>
        </w:rPr>
        <w:t xml:space="preserve">непредставление заявит</w:t>
      </w:r>
      <w:r>
        <w:rPr>
          <w:iCs/>
          <w:sz w:val="28"/>
        </w:rPr>
        <w:t xml:space="preserve">елем в Орган власти документов (сведений), необходимых для осуществления мониторинга условий жизни семьи (одиноко проживающего гражданина) со дня окончания срока действия ранее заключенного социального контракта в соответствии с абз</w:t>
      </w:r>
      <w:r>
        <w:rPr>
          <w:iCs/>
          <w:sz w:val="28"/>
        </w:rPr>
        <w:t xml:space="preserve">ацем первым пункта 72</w:t>
      </w:r>
      <w:r>
        <w:rPr>
          <w:iCs/>
          <w:sz w:val="28"/>
        </w:rPr>
        <w:t xml:space="preserve"> Порядка, если они не могут быть получены в порядке межведомственного</w:t>
      </w:r>
      <w:r>
        <w:rPr>
          <w:iCs/>
          <w:sz w:val="28"/>
        </w:rPr>
        <w:t xml:space="preserve"> информационного взаимодействия</w:t>
      </w:r>
      <w:r>
        <w:rPr>
          <w:iCs/>
          <w:sz w:val="28"/>
        </w:rPr>
        <w:t xml:space="preserve"> в органах и (или) организациях, в распоряжении которых они находятся</w:t>
      </w:r>
      <w:r>
        <w:rPr>
          <w:iCs/>
          <w:sz w:val="28"/>
        </w:rPr>
        <w:t xml:space="preserve"> </w:t>
      </w:r>
      <w:r>
        <w:rPr>
          <w:sz w:val="28"/>
          <w:szCs w:val="28"/>
        </w:rPr>
        <w:t xml:space="preserve">(является дополнительным основанием для отказа в течение 12 месяцев начиная со дня окончания мониторинга условий жизни семьи (одиноко проживающего гражданина), осуществляемого по завершении ранее заключенного социального контракта)</w:t>
      </w:r>
      <w:r>
        <w:rPr>
          <w:iCs/>
          <w:sz w:val="28"/>
        </w:rPr>
        <w:t xml:space="preserve">.</w:t>
      </w:r>
      <w:r>
        <w:rPr>
          <w:iCs/>
          <w:sz w:val="28"/>
        </w:rPr>
      </w:r>
      <w:r>
        <w:rPr>
          <w:iCs/>
          <w:sz w:val="28"/>
        </w:rPr>
      </w:r>
    </w:p>
    <w:p>
      <w:pPr>
        <w:pStyle w:val="1060"/>
        <w:numPr>
          <w:numId w:val="63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Основания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для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отказа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</w:t>
      </w:r>
      <w:r>
        <w:rPr>
          <w:bCs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приеме заявления и документов, необходимых для предоставления Услуги, основания для отказа в предоставлении Услуги с учетом категории (признаков) заявителя приведены в таблице № 3 приложения к настоящему Административному регламенту.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Размер платы, взимаемой с заявителя при предоставлении Услуги, и способы ее взимания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60"/>
        <w:numPr>
          <w:numId w:val="63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Взимание платы за предоставление Услуги законодательством Российской Федерации не предусмотрено.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851" w:right="-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4"/>
        <w:jc w:val="center"/>
        <w:outlineLvl w:val="0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Максимальный срок ожидания в очереди при подаче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заявителем з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аявления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и при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получении результата предоставления Услуги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r>
    </w:p>
    <w:p>
      <w:pPr>
        <w:pStyle w:val="1034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</w:r>
      <w:r>
        <w:rPr>
          <w:rFonts w:eastAsia="Calibri"/>
          <w:color w:val="000000" w:themeColor="text1"/>
          <w:sz w:val="28"/>
          <w:szCs w:val="28"/>
          <w:lang w:eastAsia="en-US"/>
        </w:rPr>
      </w:r>
      <w:r>
        <w:rPr>
          <w:rFonts w:eastAsia="Calibri"/>
          <w:color w:val="000000" w:themeColor="text1"/>
          <w:sz w:val="28"/>
          <w:szCs w:val="28"/>
          <w:lang w:eastAsia="en-US"/>
        </w:rPr>
      </w:r>
    </w:p>
    <w:p>
      <w:pPr>
        <w:pStyle w:val="1034"/>
        <w:ind w:left="0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16. Максимальный срок ожидания в очереди при подаче заявления о предоставлении Услуги и при получении результата предоставления Услуги заявителем не должен превышать 15 минут.</w:t>
      </w:r>
      <w:r>
        <w:rPr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en-US"/>
        </w:rPr>
      </w:r>
      <w:r>
        <w:rPr>
          <w:rFonts w:eastAsia="Calibri"/>
          <w:color w:val="000000" w:themeColor="text1"/>
          <w:sz w:val="28"/>
          <w:szCs w:val="28"/>
          <w:lang w:eastAsia="en-US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 регистрации </w:t>
      </w:r>
      <w:r>
        <w:rPr>
          <w:b/>
          <w:sz w:val="28"/>
          <w:szCs w:val="28"/>
        </w:rPr>
        <w:t xml:space="preserve">заявления</w:t>
      </w:r>
      <w:r>
        <w:rPr>
          <w:b/>
          <w:sz w:val="28"/>
          <w:szCs w:val="28"/>
        </w:rPr>
        <w:t xml:space="preserve"> заявителя о предоставлении Услуги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60"/>
        <w:numPr>
          <w:numId w:val="67"/>
          <w:ilvl w:val="6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58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а) в Органе власти – </w:t>
      </w:r>
      <w:r>
        <w:rPr>
          <w:iCs/>
          <w:color w:val="000000" w:themeColor="text1"/>
          <w:sz w:val="28"/>
        </w:rPr>
        <w:t xml:space="preserve">1 рабочий день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58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 в МФЦ – </w:t>
      </w:r>
      <w:r>
        <w:rPr>
          <w:iCs/>
          <w:color w:val="000000" w:themeColor="text1"/>
          <w:sz w:val="28"/>
        </w:rPr>
        <w:t xml:space="preserve">1 рабочий день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58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в) посредством Единого портала – </w:t>
      </w:r>
      <w:r>
        <w:rPr>
          <w:iCs/>
          <w:color w:val="000000" w:themeColor="text1"/>
          <w:sz w:val="28"/>
        </w:rPr>
        <w:t xml:space="preserve">1 рабочий день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60"/>
        <w:spacing w:after="16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8"/>
        <w:tabs>
          <w:tab w:val="left" w:pos="284" w:leader="none"/>
        </w:tabs>
        <w:ind w:right="-1" w:firstLine="709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 xml:space="preserve">Требования к помещениям, в которых предоставляется Услуга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1068"/>
        <w:tabs>
          <w:tab w:val="left" w:pos="284" w:leader="none"/>
          <w:tab w:val="left" w:pos="1134" w:leader="none"/>
        </w:tabs>
        <w:ind w:right="-1" w:firstLine="851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8"/>
        <w:tabs>
          <w:tab w:val="left" w:pos="1134" w:leader="none"/>
        </w:tabs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18. Требования к помещениям, в которых предоставляется Услуга, размещены на официальном сайте Органа власти в сети «Интернет», а также на Едином портале.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Показатели доступности и качества Услуги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60"/>
        <w:numPr>
          <w:numId w:val="68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доступности и качества Услуги размещены на официальном сайте</w:t>
      </w:r>
      <w:r>
        <w:rPr>
          <w:color w:val="7030a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Орган</w:t>
      </w:r>
      <w:r>
        <w:rPr>
          <w:color w:val="000000" w:themeColor="text1"/>
          <w:sz w:val="28"/>
          <w:szCs w:val="28"/>
        </w:rPr>
        <w:t xml:space="preserve">а</w:t>
      </w:r>
      <w:r>
        <w:rPr>
          <w:color w:val="000000" w:themeColor="text1"/>
          <w:sz w:val="28"/>
          <w:szCs w:val="28"/>
        </w:rPr>
        <w:t xml:space="preserve"> власти </w:t>
      </w:r>
      <w:r>
        <w:rPr>
          <w:sz w:val="28"/>
          <w:szCs w:val="28"/>
        </w:rPr>
        <w:t xml:space="preserve">в сети «Интернет», а также на Едином портале.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Иные требования к предоставлению Услуги</w:t>
      </w:r>
      <w:r>
        <w:rPr>
          <w:b/>
          <w:sz w:val="28"/>
          <w:szCs w:val="28"/>
        </w:rPr>
        <w:t xml:space="preserve">, </w:t>
      </w:r>
      <w:r>
        <w:rPr>
          <w:rFonts w:eastAsia="Calibri"/>
          <w:b/>
          <w:color w:val="000000" w:themeColor="text1"/>
          <w:sz w:val="28"/>
          <w:szCs w:val="24"/>
          <w:lang w:eastAsia="en-US"/>
        </w:rPr>
        <w:t xml:space="preserve">в том числе учитывающие особенности предоставления Услуги в многофункциональных центрах и особенности предоставления Услуги в электронной форме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60"/>
        <w:numPr>
          <w:numId w:val="68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предусмотрены.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numPr>
          <w:numId w:val="68"/>
          <w:ilvl w:val="6"/>
        </w:numPr>
        <w:tabs>
          <w:tab w:val="left" w:pos="284" w:leader="none"/>
          <w:tab w:val="left" w:pos="993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Информационные системы, используемые для предоставления Услуги: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государственная информационная система Новосибирской области «Территориальная информационная система «Социальный портрет гражданина и Типизированное хранилище данных Новосибирской области»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</w:t>
      </w:r>
      <w:r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 xml:space="preserve">федеральная государственная информационная система «Единая система межведомственного электронного взаимодействия»;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</w:t>
      </w:r>
      <w:r>
        <w:rPr>
          <w:color w:val="000000" w:themeColor="text1"/>
          <w:sz w:val="28"/>
          <w:szCs w:val="28"/>
        </w:rPr>
        <w:t xml:space="preserve">) Единый портал.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69"/>
        <w:numPr>
          <w:numId w:val="41"/>
          <w:ilvl w:val="0"/>
        </w:numPr>
        <w:tabs>
          <w:tab w:val="left" w:pos="284" w:leader="none"/>
          <w:tab w:val="left" w:pos="759" w:leader="none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</w:t>
      </w:r>
      <w:r>
        <w:rPr>
          <w:sz w:val="28"/>
          <w:szCs w:val="28"/>
        </w:rPr>
        <w:t xml:space="preserve">жность получения Услуги в МФЦ </w:t>
      </w:r>
      <w:r>
        <w:rPr>
          <w:sz w:val="28"/>
          <w:szCs w:val="28"/>
        </w:rPr>
        <w:t xml:space="preserve">предусмотрена.</w:t>
      </w:r>
      <w:r>
        <w:rPr>
          <w:rFonts w:ascii="TimesNewRoman" w:hAnsi="TimesNewRoman"/>
          <w:sz w:val="28"/>
          <w:szCs w:val="28"/>
          <w:shd w:val="clear" w:color="auto" w:fill="ffffff"/>
        </w:rPr>
        <w:t xml:space="preserve"> </w:t>
      </w:r>
      <w:r>
        <w:rPr>
          <w:rFonts w:ascii="TimesNewRoman" w:hAnsi="TimesNewRoman"/>
          <w:sz w:val="28"/>
          <w:szCs w:val="28"/>
          <w:shd w:val="clear" w:color="auto" w:fill="ffffff"/>
        </w:rPr>
        <w:t xml:space="preserve">Принятие МФЦ решения об отказе в приеме заявления и документов и (или) информации, необходимых для предоставления Услуги, возможно в случае наличия оснований для отказа в приеме документов, предусмотренных Административным регламентом.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9"/>
        <w:numPr>
          <w:numId w:val="41"/>
          <w:ilvl w:val="0"/>
        </w:numPr>
        <w:tabs>
          <w:tab w:val="left" w:pos="284" w:leader="none"/>
          <w:tab w:val="left" w:pos="759" w:leader="none"/>
        </w:tabs>
        <w:ind w:left="142" w:right="-1" w:firstLine="567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В</w:t>
      </w:r>
      <w:r>
        <w:rPr>
          <w:color w:val="auto"/>
          <w:sz w:val="28"/>
          <w:szCs w:val="28"/>
        </w:rPr>
        <w:t xml:space="preserve">озможность </w:t>
      </w:r>
      <w:r>
        <w:rPr>
          <w:color w:val="000000" w:themeColor="text1"/>
          <w:sz w:val="28"/>
          <w:szCs w:val="28"/>
        </w:rPr>
        <w:t xml:space="preserve">выдачи заявителю результата предоставления Услуги в МФЦ не предусмотрена.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9"/>
        <w:numPr>
          <w:numId w:val="41"/>
          <w:ilvl w:val="0"/>
        </w:numPr>
        <w:tabs>
          <w:tab w:val="left" w:pos="284" w:leader="none"/>
          <w:tab w:val="left" w:pos="759" w:leader="none"/>
        </w:tabs>
        <w:ind w:left="0" w:right="-1"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Возможность </w:t>
      </w:r>
      <w:r>
        <w:rPr>
          <w:color w:val="000000" w:themeColor="text1"/>
          <w:sz w:val="28"/>
          <w:szCs w:val="28"/>
        </w:rPr>
        <w:t xml:space="preserve">предоставления Услуги </w:t>
      </w:r>
      <w:r>
        <w:rPr>
          <w:color w:val="000000" w:themeColor="text1"/>
          <w:sz w:val="28"/>
          <w:szCs w:val="28"/>
        </w:rPr>
        <w:t xml:space="preserve">в отношении несовершеннолетнего</w:t>
      </w:r>
      <w:r>
        <w:rPr>
          <w:color w:val="000000" w:themeColor="text1"/>
          <w:sz w:val="28"/>
          <w:szCs w:val="28"/>
        </w:rPr>
        <w:t xml:space="preserve"> не предусмотрена.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9"/>
        <w:tabs>
          <w:tab w:val="left" w:pos="284" w:leader="none"/>
          <w:tab w:val="left" w:pos="759" w:leader="none"/>
        </w:tabs>
        <w:ind w:left="709" w:right="-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Исчерпывающий перечень документов, </w:t>
      </w:r>
      <w:sdt>
        <w:sdtPr>
          <w15:appearance w15:val="boundingBox"/>
          <w:id w:val="-667085156"/>
          <w:tag w:val="goog_rdk_26"/>
          <w:rPr>
            <w:b/>
            <w:sz w:val="28"/>
            <w:szCs w:val="28"/>
          </w:rPr>
        </w:sdtPr>
        <w:sdtContent>
          <w:r>
            <w:rPr>
              <w:b/>
              <w:sz w:val="28"/>
              <w:szCs w:val="28"/>
            </w:rPr>
          </w:r>
        </w:sdtContent>
      </w:sdt>
      <w:sdt>
        <w:sdtPr>
          <w15:appearance w15:val="boundingBox"/>
          <w:id w:val="702297071"/>
          <w:tag w:val="goog_rdk_29"/>
          <w:rPr>
            <w:b/>
            <w:sz w:val="28"/>
            <w:szCs w:val="28"/>
          </w:rPr>
        </w:sdtPr>
        <w:sdtContent>
          <w:r>
            <w:rPr>
              <w:b/>
              <w:sz w:val="28"/>
              <w:szCs w:val="28"/>
            </w:rPr>
          </w:r>
        </w:sdtContent>
      </w:sdt>
      <w:r>
        <w:rPr>
          <w:b/>
          <w:sz w:val="28"/>
          <w:szCs w:val="28"/>
        </w:rPr>
        <w:t xml:space="preserve">необходимых для предоставления Услуги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60"/>
        <w:numPr>
          <w:numId w:val="69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таблице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 приложения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numPr>
          <w:numId w:val="35"/>
          <w:ilvl w:val="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</w:t>
      </w:r>
      <w:r>
        <w:rPr>
          <w:sz w:val="28"/>
          <w:szCs w:val="28"/>
        </w:rPr>
        <w:t xml:space="preserve">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numPr>
          <w:numId w:val="35"/>
          <w:ilvl w:val="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</w:t>
      </w:r>
      <w:r>
        <w:rPr>
          <w:sz w:val="28"/>
          <w:szCs w:val="28"/>
        </w:rPr>
        <w:t xml:space="preserve"> перечень документов, необходимых в соответствии с зак</w:t>
      </w:r>
      <w:r>
        <w:rPr>
          <w:sz w:val="28"/>
          <w:szCs w:val="28"/>
        </w:rPr>
        <w:t xml:space="preserve">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</w:t>
      </w:r>
      <w:r>
        <w:rPr>
          <w:sz w:val="28"/>
          <w:szCs w:val="28"/>
        </w:rPr>
        <w:t xml:space="preserve">ия</w:t>
      </w:r>
      <w:r>
        <w:rPr>
          <w:sz w:val="28"/>
          <w:szCs w:val="28"/>
        </w:rPr>
        <w:t xml:space="preserve">.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numPr>
          <w:numId w:val="69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Документы, необходимые для предоставления У</w:t>
      </w:r>
      <w:r>
        <w:rPr>
          <w:sz w:val="28"/>
          <w:szCs w:val="28"/>
        </w:rPr>
        <w:t xml:space="preserve">слуги,</w:t>
      </w:r>
      <w:r>
        <w:rPr>
          <w:sz w:val="28"/>
          <w:szCs w:val="28"/>
        </w:rPr>
        <w:t xml:space="preserve"> и нормативные правовые акты, утверждающие формы документов и заявления, необходимых для предоставления Услуги,</w:t>
      </w:r>
      <w:r>
        <w:rPr>
          <w:sz w:val="28"/>
          <w:szCs w:val="28"/>
        </w:rPr>
        <w:t xml:space="preserve"> приведены в приложении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Административному регламенту.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8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III</w:t>
      </w:r>
      <w:r>
        <w:rPr>
          <w:b/>
          <w:sz w:val="28"/>
          <w:szCs w:val="28"/>
        </w:rPr>
        <w:t xml:space="preserve">. Состав, последовательность и сроки выполнения административных процедур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58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еречень осуществляемых при предоставлении Услуги административных процедур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60"/>
        <w:numPr>
          <w:numId w:val="69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Услуги осуществляются следующие административные процедуры: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 xml:space="preserve">п</w:t>
      </w:r>
      <w:r>
        <w:rPr>
          <w:color w:val="auto"/>
          <w:sz w:val="28"/>
          <w:szCs w:val="28"/>
        </w:rPr>
        <w:t xml:space="preserve">рофилирование заявителя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 xml:space="preserve">п</w:t>
      </w:r>
      <w:r>
        <w:rPr>
          <w:color w:val="auto"/>
          <w:sz w:val="28"/>
          <w:szCs w:val="28"/>
        </w:rPr>
        <w:t xml:space="preserve">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 xml:space="preserve">м</w:t>
      </w:r>
      <w:r>
        <w:rPr>
          <w:color w:val="auto"/>
          <w:sz w:val="28"/>
          <w:szCs w:val="28"/>
        </w:rPr>
        <w:t xml:space="preserve">ежведомственное информационное взаимодействие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 xml:space="preserve">п</w:t>
      </w:r>
      <w:r>
        <w:rPr>
          <w:color w:val="auto"/>
          <w:sz w:val="28"/>
          <w:szCs w:val="28"/>
        </w:rPr>
        <w:t xml:space="preserve">риостановление предоставления Услуги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 xml:space="preserve">п</w:t>
      </w:r>
      <w:r>
        <w:rPr>
          <w:color w:val="auto"/>
          <w:sz w:val="28"/>
          <w:szCs w:val="28"/>
        </w:rPr>
        <w:t xml:space="preserve">ринятие решения о предоставлении (об отказе в предоставлении) Услуги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0"/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 xml:space="preserve">п</w:t>
      </w:r>
      <w:r>
        <w:rPr>
          <w:color w:val="auto"/>
          <w:sz w:val="28"/>
          <w:szCs w:val="28"/>
        </w:rPr>
        <w:t xml:space="preserve">редоставление результата Услуги</w:t>
      </w:r>
      <w:r>
        <w:rPr>
          <w:color w:val="auto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105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058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IV</w:t>
      </w:r>
      <w:r>
        <w:rPr>
          <w:b/>
          <w:sz w:val="28"/>
          <w:szCs w:val="28"/>
        </w:rPr>
        <w:t xml:space="preserve">. Способы информирования заявителя об изменении статуса рассмотрения заявления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58"/>
        <w:ind w:firstLine="851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060"/>
        <w:numPr>
          <w:numId w:val="69"/>
          <w:ilvl w:val="6"/>
        </w:numPr>
        <w:tabs>
          <w:tab w:val="left" w:pos="284" w:leader="none"/>
          <w:tab w:val="left" w:pos="1134" w:leader="none"/>
        </w:tabs>
        <w:ind w:left="0" w:right="-1" w:firstLine="851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Информация об изменении статуса рассмотрения заявления направляется заявителю</w:t>
      </w:r>
      <w:r>
        <w:rPr>
          <w:sz w:val="28"/>
          <w:szCs w:val="28"/>
          <w:highlight w:val="white"/>
        </w:rPr>
        <w:t xml:space="preserve"> </w:t>
      </w:r>
      <w:bookmarkStart w:id="0" w:name="_GoBack"/>
      <w:r>
        <w:rPr>
          <w:color w:val="000000" w:themeColor="text1"/>
          <w:sz w:val="28"/>
          <w:szCs w:val="28"/>
        </w:rPr>
        <w:t xml:space="preserve">посредством Единого портала</w:t>
      </w:r>
      <w:bookmarkEnd w:id="0"/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058"/>
        <w:tabs>
          <w:tab w:val="left" w:pos="284" w:leader="none"/>
          <w:tab w:val="left" w:pos="1134" w:leader="none"/>
        </w:tabs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ageBreakBefore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1"/>
        <w:gridCol w:w="9114"/>
      </w:tblGrid>
      <w:tr>
        <w:trPr/>
        <w:tblPrEx/>
        <w:tc>
          <w:tcPr>
            <w:tcW w:w="0" w:type="auto"/>
            <w:noWrap w:val="false"/>
            <w:textDirection w:val="lrTb"/>
          </w:tcPr>
          <w:p/>
        </w:tc>
        <w:tc>
          <w:tcPr>
            <w:tcW w:w="4000" w:type="dxa"/>
            <w:noWrap w:val="false"/>
            <w:textDirection w:val="lrTb"/>
          </w:tcPr>
          <w:p>
            <w:pPr>
              <w:pStyle w:val="1070"/>
              <w:ind w:left="5708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Приложение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pStyle w:val="1070"/>
              <w:ind w:left="57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</w:t>
            </w:r>
            <w:r>
              <w:rPr>
                <w:color w:val="000000" w:themeColor="text1"/>
                <w:sz w:val="28"/>
                <w:szCs w:val="28"/>
              </w:rPr>
              <w:t xml:space="preserve"> Административному регламенту, утвержденному приказом </w:t>
            </w:r>
            <w:r>
              <w:rPr>
                <w:color w:val="000000" w:themeColor="text1"/>
                <w:sz w:val="28"/>
                <w:szCs w:val="28"/>
              </w:rPr>
              <w:t xml:space="preserve">министерства труда и социального развития</w:t>
            </w:r>
            <w:r>
              <w:rPr>
                <w:color w:val="000000" w:themeColor="text1"/>
                <w:sz w:val="28"/>
                <w:szCs w:val="28"/>
              </w:rPr>
              <w:t xml:space="preserve"> Новосибирской области от_______№____________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/>
        </w:tc>
      </w:tr>
    </w:tbl>
    <w:p>
      <w:pPr>
        <w:jc w:val="center"/>
      </w:pPr>
      <w:r>
        <w:rPr>
          <w:b/>
          <w:sz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</w:t>
      </w:r>
      <w:r>
        <w:rPr>
          <w:b/>
          <w:sz w:val="28"/>
        </w:rPr>
        <w:t xml:space="preserve">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</w:t>
      </w:r>
      <w:r>
        <w:rPr>
          <w:b/>
          <w:sz w:val="28"/>
        </w:rPr>
        <w:t xml:space="preserve">УДАРСТВЕННОЙ УСЛУГИ ИЛИ ОТКАЗА </w:t>
      </w:r>
      <w:r>
        <w:rPr>
          <w:b/>
          <w:sz w:val="28"/>
        </w:rPr>
        <w:t xml:space="preserve">В ПРЕДОСТАВЛЕНИИ ГОСУДАРСТВЕННОЙ УСЛУГИ</w:t>
      </w:r>
    </w:p>
    <w:p>
      <w:pPr>
        <w:pStyle w:val="1007"/>
        <w:numPr>
          <w:numId w:val="39"/>
          <w:ilvl w:val="0"/>
        </w:numPr>
        <w:jc w:val="center"/>
      </w:pPr>
      <w:r>
        <w:rPr>
          <w:b/>
          <w:sz w:val="28"/>
        </w:rPr>
        <w:t xml:space="preserve">Перечень условных обозначений и сокращений</w:t>
      </w:r>
    </w:p>
    <w:p>
      <w:r>
        <w:rPr>
          <w:sz w:val="20"/>
        </w:rPr>
        <w:t xml:space="preserve">Условные обозначения:</w:t>
      </w:r>
    </w:p>
    <w:p>
      <w:pPr>
        <w:numPr>
          <w:numId w:val="42"/>
          <w:ilvl w:val="0"/>
        </w:numPr>
        <w:spacing w:line="276" w:lineRule="auto"/>
        <w:ind w:hanging="284"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Почта - посредством почтовой связи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numId w:val="42"/>
          <w:ilvl w:val="0"/>
        </w:numPr>
        <w:spacing w:line="276" w:lineRule="auto"/>
        <w:ind w:hanging="284"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ОГВ - министерство труда и социального развития Новосибирской области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numId w:val="42"/>
          <w:ilvl w:val="0"/>
        </w:numPr>
        <w:spacing w:line="276" w:lineRule="auto"/>
        <w:ind w:hanging="284"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МФЦ - многофункциональный центр предоставления государственных и муниципальных услуг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numId w:val="42"/>
          <w:ilvl w:val="0"/>
        </w:numPr>
        <w:spacing w:line="276" w:lineRule="auto"/>
        <w:ind w:hanging="284"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К (з) - копия документа, заверенная в порядке, установленном законодательством Российской Федерации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numId w:val="42"/>
          <w:ilvl w:val="0"/>
        </w:numPr>
        <w:spacing w:line="276" w:lineRule="auto"/>
        <w:ind w:hanging="284"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ОД - оригинал документа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numId w:val="42"/>
          <w:ilvl w:val="0"/>
        </w:numPr>
        <w:spacing w:line="276" w:lineRule="auto"/>
        <w:ind w:left="0" w:firstLine="426"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Кк (п) - 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numPr>
          <w:numId w:val="42"/>
          <w:ilvl w:val="0"/>
        </w:numPr>
        <w:spacing w:line="276" w:lineRule="auto"/>
        <w:jc w:val="both"/>
        <w:rPr>
          <w:sz w:val="20"/>
        </w:rPr>
      </w:pPr>
      <w:r>
        <w:rPr>
          <w:color w:val="000000" w:themeColor="text1"/>
          <w:sz w:val="20"/>
        </w:rPr>
        <w:t xml:space="preserve">ПП ЭП - </w:t>
      </w:r>
      <w:r>
        <w:rPr>
          <w:sz w:val="20"/>
        </w:rPr>
        <w:t xml:space="preserve">подписан простой электронной подписью</w:t>
      </w:r>
      <w:r>
        <w:rPr>
          <w:sz w:val="20"/>
        </w:rPr>
      </w:r>
      <w:r>
        <w:rPr>
          <w:sz w:val="20"/>
        </w:rPr>
      </w:r>
    </w:p>
    <w:p>
      <w:pPr>
        <w:pStyle w:val="1007"/>
        <w:numPr>
          <w:numId w:val="39"/>
          <w:ilvl w:val="0"/>
        </w:numPr>
        <w:jc w:val="center"/>
      </w:pPr>
      <w:r>
        <w:rPr>
          <w:b/>
          <w:sz w:val="28"/>
        </w:rPr>
        <w:t xml:space="preserve">Идентификаторы категорий (признаков) заявителей</w:t>
      </w:r>
    </w:p>
    <w:p>
      <w:r>
        <w:rPr>
          <w:b/>
        </w:rPr>
        <w:t xml:space="preserve">Таблица </w:t>
      </w:r>
      <w:r>
        <w:rPr>
          <w:b/>
        </w:rPr>
        <w:t xml:space="preserve">№ </w:t>
      </w:r>
      <w:r>
        <w:rPr>
          <w:b/>
        </w:rPr>
        <w:t xml:space="preserve">1</w:t>
      </w:r>
    </w:p>
    <w:tbl>
      <w:tblPr>
        <w:tblpPr w:horzAnchor="text" w:tblpXSpec="left" w:vertAnchor="text" w:tblpY="1" w:leftFromText="180" w:topFromText="0" w:rightFromText="180" w:bottomFromText="0"/>
        <w:tblW w:w="4797" w:type="pct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711"/>
        <w:gridCol w:w="2517"/>
        <w:gridCol w:w="4615"/>
        <w:gridCol w:w="1669"/>
      </w:tblGrid>
      <w:tr>
        <w:trPr>
          <w:tblHeader/>
        </w:trPr>
        <w:tblPrEx/>
        <w:tc>
          <w:tcPr>
            <w:tcW w:w="733" w:type="dxa"/>
            <w:noWrap w:val="false"/>
            <w:textDirection w:val="lrTb"/>
            <w:vAlign w:val="center"/>
          </w:tcPr>
          <w:p>
            <w:pPr>
              <w:jc w:val="center"/>
            </w:pPr>
            <w:r>
              <w:rPr>
                <w:b/>
                <w:sz w:val="20"/>
              </w:rPr>
              <w:t xml:space="preserve">№</w:t>
            </w:r>
          </w:p>
        </w:tc>
        <w:tc>
          <w:tcPr>
            <w:tcW w:w="2581" w:type="dxa"/>
            <w:noWrap w:val="false"/>
            <w:textDirection w:val="lrTb"/>
            <w:vAlign w:val="center"/>
          </w:tcPr>
          <w:p>
            <w:pPr>
              <w:jc w:val="center"/>
            </w:pPr>
            <w:r>
              <w:rPr>
                <w:b/>
                <w:sz w:val="20"/>
              </w:rPr>
              <w:t xml:space="preserve">Результат предоставления Услуги</w:t>
            </w:r>
          </w:p>
        </w:tc>
        <w:tc>
          <w:tcPr>
            <w:tcW w:w="4802" w:type="dxa"/>
            <w:noWrap w:val="false"/>
            <w:textDirection w:val="lrTb"/>
            <w:vAlign w:val="center"/>
          </w:tcPr>
          <w:p>
            <w:pPr>
              <w:jc w:val="center"/>
            </w:pPr>
            <w:r>
              <w:rPr>
                <w:b/>
                <w:sz w:val="20"/>
              </w:rPr>
              <w:t xml:space="preserve">Наименования отдельного признака заявителя</w:t>
            </w:r>
          </w:p>
        </w:tc>
        <w:tc>
          <w:tcPr>
            <w:tcW w:w="1669" w:type="dxa"/>
            <w:noWrap w:val="false"/>
            <w:textDirection w:val="lrTb"/>
            <w:vAlign w:val="center"/>
          </w:tcPr>
          <w:p>
            <w:pPr>
              <w:jc w:val="center"/>
            </w:pPr>
            <w:r>
              <w:rPr>
                <w:b/>
                <w:sz w:val="20"/>
              </w:rPr>
              <w:t xml:space="preserve">Идентификатор отдельного признака заявителей</w:t>
            </w:r>
          </w:p>
        </w:tc>
      </w:tr>
      <w:tr>
        <w:trPr/>
        <w:tblPrEx/>
        <w:tc>
          <w:tcPr>
            <w:tcW w:w="733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</w:t>
            </w:r>
          </w:p>
        </w:tc>
        <w:tc>
          <w:tcPr>
            <w:tcW w:w="258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</w:pPr>
            <w:r>
              <w:rPr>
                <w:sz w:val="20"/>
              </w:rPr>
              <w:t xml:space="preserve">Оказание государственной социальной помощи на основании социального контракта/ отказ в предоставление Услуги </w:t>
            </w:r>
          </w:p>
          <w:p/>
        </w:tc>
        <w:tc>
          <w:tcPr>
            <w:tcW w:w="4802" w:type="dxa"/>
            <w:noWrap w:val="false"/>
            <w:textDirection w:val="lrTb"/>
          </w:tcPr>
          <w:p>
            <w:r>
              <w:rPr>
                <w:iCs/>
                <w:sz w:val="20"/>
              </w:rPr>
              <w:t xml:space="preserve">гражданин Российской Федерации, постоянно проживающий на территории Российской Федерации, из числа</w:t>
            </w:r>
            <w:r>
              <w:rPr>
                <w:iCs/>
                <w:sz w:val="20"/>
              </w:rPr>
              <w:t xml:space="preserve"> малоимущих семей, малоимущие одиноко проживающие граждане и граждане из иных категорий, указанных в пункте 1 части 1 статьи 8.1 Федерального закона от 17.07.1999 № 178-ФЗ «О государственной социальной помощи», если размер среднедушевого дохода</w:t>
            </w:r>
            <w:r>
              <w:rPr>
                <w:iCs/>
                <w:sz w:val="20"/>
              </w:rPr>
              <w:t xml:space="preserve"> семьи, дохода одиноко проживающего гражданина, рассчитанный в соответствии с Федеральным законом от 05.04.2003 № 44-ФЗ «О порядке учета доходов и расчета среднедушевого дохода семьи и дохода одиноко проживающего гражданина для признания их малоимущими и ок</w:t>
            </w:r>
            <w:r>
              <w:rPr>
                <w:iCs/>
                <w:sz w:val="20"/>
              </w:rPr>
              <w:t xml:space="preserve">азания им государственной социальной помощи», по независящим от них причинам ниже величины прожиточного минимума на душу населения, установленного в Новосибирской области в соответствии с Федеральным законом от 24.10.1997 № 134-ФЗ «О прожиточном минимуме в </w:t>
            </w:r>
            <w:r>
              <w:rPr>
                <w:iCs/>
                <w:sz w:val="20"/>
              </w:rPr>
              <w:t xml:space="preserve">Российской Федерации» на дату обращения за Услугой, обратившийся в целях </w:t>
            </w:r>
            <w:r>
              <w:rPr>
                <w:b/>
                <w:bCs/>
                <w:color w:val="000000" w:themeColor="text1"/>
                <w:sz w:val="20"/>
                <w:szCs w:val="28"/>
              </w:rPr>
              <w:t xml:space="preserve">реализации мероприятия по поиску работы</w:t>
            </w:r>
            <w:r>
              <w:rPr>
                <w:b/>
                <w:bCs/>
                <w:color w:val="000000" w:themeColor="text1"/>
              </w:rPr>
            </w:r>
            <w:r>
              <w:rPr>
                <w:iCs/>
                <w:sz w:val="20"/>
              </w:rPr>
            </w:r>
          </w:p>
        </w:tc>
        <w:tc>
          <w:tcPr>
            <w:tcW w:w="1669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</w:t>
            </w:r>
          </w:p>
        </w:tc>
      </w:tr>
      <w:tr>
        <w:trPr/>
        <w:tblPrEx/>
        <w:tc>
          <w:tcPr>
            <w:tcW w:w="73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58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802" w:type="dxa"/>
            <w:noWrap w:val="false"/>
            <w:textDirection w:val="lrTb"/>
          </w:tcPr>
          <w:p>
            <w:pPr>
              <w:rPr>
                <w:b/>
                <w:bCs/>
                <w:iCs/>
                <w:color w:val="000000" w:themeColor="text1"/>
                <w:sz w:val="20"/>
              </w:rPr>
            </w:pP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  <w:t xml:space="preserve">гражданин Российской Федерации, постоянно проживающий на территории Российской Федерации, из числа</w:t>
            </w:r>
            <w:r>
              <w:rPr>
                <w:iCs/>
                <w:sz w:val="20"/>
              </w:rPr>
              <w:t xml:space="preserve"> малоимущих семей, малоимущие одиноко проживающие граждане и граждане из иных категорий, указанных в пункте 1 части 1 статьи 8.1 Федерального закона от 17.07.1999 № 178-ФЗ «О государственной социальной помощи», если размер среднедушевого дохода</w:t>
            </w:r>
            <w:r>
              <w:rPr>
                <w:iCs/>
                <w:sz w:val="20"/>
              </w:rPr>
              <w:t xml:space="preserve"> </w:t>
            </w:r>
            <w:r>
              <w:rPr>
                <w:iCs/>
                <w:sz w:val="20"/>
              </w:rPr>
              <w:t xml:space="preserve">семьи, дохода одиноко проживающего гражданина, рассчитанный в соответствии с Федеральным законом от 05.04.2003 № 44-ФЗ «О порядке учета доходов и расчета среднедушевого дохода семьи и дохода одиноко проживающего гражданина для признания их малоимущими и ок</w:t>
            </w:r>
            <w:r>
              <w:rPr>
                <w:iCs/>
                <w:sz w:val="20"/>
              </w:rPr>
              <w:t xml:space="preserve">а</w:t>
            </w:r>
            <w:r>
              <w:rPr>
                <w:iCs/>
                <w:sz w:val="20"/>
              </w:rPr>
              <w:t xml:space="preserve">зания им государственной социальной помощи», по независящим от них причинам ниже величины прожиточного минимума на душу населения, установленного в Новосибирской области в соответствии с Федеральным законом от 24.10.1997 № 134-ФЗ «О прожиточном минимуме в </w:t>
            </w:r>
            <w:r>
              <w:rPr>
                <w:iCs/>
                <w:sz w:val="20"/>
              </w:rPr>
              <w:t xml:space="preserve">Российской Федерации» на дату обращения за Услугой, обратившийся в целях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8"/>
              </w:rPr>
              <w:t xml:space="preserve">реализации мероприятия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8"/>
              </w:rPr>
              <w:t xml:space="preserve">по осуществлению индивидуальной предпринимательской деятельности</w:t>
            </w:r>
            <w:r>
              <w:rPr>
                <w:b/>
                <w:bCs/>
                <w:iCs/>
                <w:color w:val="000000" w:themeColor="text1"/>
                <w:sz w:val="20"/>
              </w:rPr>
            </w:r>
            <w:r>
              <w:rPr>
                <w:b/>
                <w:bCs/>
                <w:iCs/>
                <w:color w:val="000000" w:themeColor="text1"/>
                <w:sz w:val="20"/>
              </w:rPr>
            </w:r>
          </w:p>
        </w:tc>
        <w:tc>
          <w:tcPr>
            <w:tcW w:w="1669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/>
        <w:tblPrEx/>
        <w:tc>
          <w:tcPr>
            <w:tcW w:w="73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581" w:type="dxa"/>
            <w:vMerge w:val="continue"/>
            <w:noWrap w:val="false"/>
            <w:textDirection w:val="lrTb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802" w:type="dxa"/>
            <w:noWrap w:val="false"/>
            <w:textDirection w:val="lrTb"/>
          </w:tcPr>
          <w:p>
            <w:pPr>
              <w:pStyle w:val="1072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</w:rPr>
            </w:pP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  <w:t xml:space="preserve">гражданин Российской Федерации, постоянно проживающий на территории Российской Федерации, из числа</w:t>
            </w:r>
            <w:r>
              <w:rPr>
                <w:iCs/>
                <w:sz w:val="20"/>
              </w:rPr>
              <w:t xml:space="preserve"> малоимущих семей, малоимущие одиноко проживающие граждане и граждане из иных категорий, указанных в пункте 1 части 1 статьи 8.1 Федерального закона от 17.07.1999 № 178-ФЗ «О государственной социальной помощи», если размер среднедушевого дохода</w:t>
            </w:r>
            <w:r>
              <w:rPr>
                <w:iCs/>
                <w:sz w:val="20"/>
              </w:rPr>
              <w:t xml:space="preserve"> </w:t>
            </w:r>
            <w:r>
              <w:rPr>
                <w:iCs/>
                <w:sz w:val="20"/>
              </w:rPr>
              <w:t xml:space="preserve">семьи, дохода одиноко проживающего гражданина, рассчитанный в соответствии с Федеральным законом от 05.04.2003 № 44-ФЗ «О порядке учета доходов и расчета среднедушевого дохода семьи и дохода одиноко проживающего гражданина для признания их малоимущими и ок</w:t>
            </w:r>
            <w:r>
              <w:rPr>
                <w:iCs/>
                <w:sz w:val="20"/>
              </w:rPr>
              <w:t xml:space="preserve">а</w:t>
            </w:r>
            <w:r>
              <w:rPr>
                <w:iCs/>
                <w:sz w:val="20"/>
              </w:rPr>
              <w:t xml:space="preserve">зания им государственной социальной помощи», по независящим от них причинам ниже величины прожиточного минимума на душу населения, установленного в Новосибирской области в соответствии с Федеральным законом от 24.10.1997 № 134-ФЗ «О прожиточном минимуме в </w:t>
            </w:r>
            <w:r>
              <w:rPr>
                <w:iCs/>
                <w:sz w:val="20"/>
              </w:rPr>
              <w:t xml:space="preserve">Российской Федерации» на дату обращения за Услугой, обратившийся в целях</w:t>
            </w:r>
            <w:r>
              <w:rPr>
                <w:iCs/>
                <w:sz w:val="20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реализации мероприятия по по ведению личного подсобного хозяйства</w:t>
            </w:r>
            <w:r>
              <w:rPr>
                <w:b/>
                <w:bCs/>
                <w:color w:val="000000" w:themeColor="text1"/>
                <w:sz w:val="20"/>
              </w:rPr>
            </w: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1669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/>
        <w:tblPrEx/>
        <w:tc>
          <w:tcPr>
            <w:tcW w:w="73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581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802" w:type="dxa"/>
            <w:noWrap w:val="false"/>
            <w:textDirection w:val="lrTb"/>
          </w:tcPr>
          <w:p>
            <w:pPr>
              <w:tabs>
                <w:tab w:val="left" w:pos="1276" w:leader="none"/>
                <w:tab w:val="left" w:pos="1985" w:leader="none"/>
              </w:tabs>
              <w:ind w:hanging="2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  <w:t xml:space="preserve">гражданин Российской Федерации, постоянно проживающий на территории Российской Федерации, из числа</w:t>
            </w:r>
            <w:r>
              <w:rPr>
                <w:iCs/>
                <w:sz w:val="20"/>
              </w:rPr>
              <w:t xml:space="preserve"> малоимущих семей, малоимущие одиноко проживающие граждане и граждане из иных категорий, указанных в пункте 1 части 1 статьи 8.1 Федерального закона от 17.07.1999 № 178-ФЗ «О государственной социальной помощи», если размер среднедушевого дохода</w:t>
            </w:r>
            <w:r>
              <w:rPr>
                <w:iCs/>
                <w:sz w:val="20"/>
              </w:rPr>
              <w:t xml:space="preserve"> </w:t>
            </w:r>
            <w:r>
              <w:rPr>
                <w:iCs/>
                <w:sz w:val="20"/>
              </w:rPr>
              <w:t xml:space="preserve">семьи, дохода одиноко проживающего гражданина, рассчитанный в соответствии с Федеральным законом от 05.04.2003 № 44-ФЗ «О порядке учета доходов и расчета среднедушевого дохода семьи и дохода одиноко проживающего гражданина для признания их малоимущими и ок</w:t>
            </w:r>
            <w:r>
              <w:rPr>
                <w:iCs/>
                <w:sz w:val="20"/>
              </w:rPr>
              <w:t xml:space="preserve">а</w:t>
            </w:r>
            <w:r>
              <w:rPr>
                <w:iCs/>
                <w:sz w:val="20"/>
              </w:rPr>
              <w:t xml:space="preserve">зания им государственной социальной помощи», по независящим от них причинам ниже величины прожиточного минимума на душу населения, установленного в Новосибирской области в соответствии с Федеральным законом от 24.10.1997 № 134-ФЗ «О прожиточном минимуме в </w:t>
            </w:r>
            <w:r>
              <w:rPr>
                <w:iCs/>
                <w:sz w:val="20"/>
              </w:rPr>
              <w:t xml:space="preserve">Российской Федерации» на дату обращения за Услугой, обратившийся в целях</w:t>
            </w:r>
            <w:r>
              <w:rPr>
                <w:iCs/>
                <w:sz w:val="20"/>
              </w:rPr>
            </w:r>
            <w:r>
              <w:rPr>
                <w:color w:val="ff0000"/>
                <w:sz w:val="20"/>
                <w:szCs w:val="28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8"/>
              </w:rPr>
              <w:t xml:space="preserve">осуществления иных мероприятий, направленных на преодоление заявителем трудной жизненной ситуации, а именно одной из следующих ситуаций: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b/>
                <w:bCs/>
                <w:color w:val="000000" w:themeColor="text1"/>
                <w:sz w:val="28"/>
                <w:szCs w:val="28"/>
              </w:rPr>
            </w:r>
          </w:p>
          <w:p>
            <w:pPr>
              <w:pStyle w:val="1072"/>
              <w:spacing w:before="0" w:beforeAutospacing="0" w:after="0" w:afterAutospacing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а</w:t>
            </w:r>
            <w:r>
              <w:rPr>
                <w:color w:val="000000" w:themeColor="text1"/>
                <w:sz w:val="20"/>
              </w:rPr>
              <w:t xml:space="preserve">) утрата (повреждение) единственного жилого помещения заявителя в результате пожара </w:t>
            </w:r>
            <w:r>
              <w:rPr>
                <w:color w:val="000000" w:themeColor="text1"/>
                <w:sz w:val="20"/>
              </w:rPr>
              <w:t xml:space="preserve">и других ситуаций бытового, природного и техногенного характера при условии, что указанная ситуация произошла в течение 12 месяцев, предшествующих дню обращения с заявлением;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1072"/>
              <w:spacing w:before="0" w:beforeAutospacing="0" w:after="0" w:afterAutospacing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б</w:t>
            </w:r>
            <w:r>
              <w:rPr>
                <w:color w:val="000000" w:themeColor="text1"/>
                <w:sz w:val="20"/>
              </w:rPr>
              <w:t xml:space="preserve">) невозможность </w:t>
            </w:r>
            <w:r>
              <w:rPr>
                <w:color w:val="000000" w:themeColor="text1"/>
                <w:sz w:val="20"/>
              </w:rPr>
              <w:t xml:space="preserve">осуществления трудовой деятельности заявителем (трудоспособным членом его семьи) в связи с прохождением амбулаторного или стационарного лечения сроком не менее 3 месяцев, медицинской реабилитации продолжительностью более 30 дней в медицинской организации; 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1072"/>
              <w:spacing w:before="0" w:beforeAutospacing="0" w:after="0" w:afterAutospacing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в</w:t>
            </w:r>
            <w:r>
              <w:rPr>
                <w:color w:val="000000" w:themeColor="text1"/>
                <w:sz w:val="20"/>
              </w:rPr>
              <w:t xml:space="preserve">) среднедушевой доход семьи заявителя за расчетный период ниже величины прожиточного минимума на душу населения, установленного в субъекте Рос</w:t>
            </w:r>
            <w:r>
              <w:rPr>
                <w:color w:val="000000" w:themeColor="text1"/>
                <w:sz w:val="20"/>
              </w:rPr>
              <w:t xml:space="preserve">сийской Федерации, при условии осуществления трудовой деятельности всеми трудоспособными членами семьи заявителя в течение 3 месяцев, предшествующих месяцу подачи заявления</w:t>
            </w:r>
            <w:r>
              <w:rPr>
                <w:color w:val="000000" w:themeColor="text1"/>
                <w:sz w:val="20"/>
              </w:rPr>
              <w:t xml:space="preserve">; 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1072"/>
              <w:spacing w:before="0" w:beforeAutospacing="0" w:after="0" w:afterAutospacing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г</w:t>
            </w:r>
            <w:r>
              <w:rPr>
                <w:color w:val="000000" w:themeColor="text1"/>
                <w:sz w:val="20"/>
              </w:rPr>
              <w:t xml:space="preserve">) прохождение заявителем или членом его семьи социальной реабилитации после получения им наркологической помощи в соответствии с Федеральным </w:t>
            </w:r>
            <w:r>
              <w:rPr>
                <w:color w:val="000000" w:themeColor="text1"/>
                <w:sz w:val="20"/>
              </w:rPr>
              <w:t xml:space="preserve">законом от 08.01.1998 № 3-ФЗ «</w:t>
            </w:r>
            <w:r>
              <w:rPr>
                <w:color w:val="000000" w:themeColor="text1"/>
                <w:sz w:val="20"/>
              </w:rPr>
              <w:t xml:space="preserve">О наркотических средствах и пси</w:t>
            </w:r>
            <w:r>
              <w:rPr>
                <w:color w:val="000000" w:themeColor="text1"/>
                <w:sz w:val="20"/>
              </w:rPr>
              <w:t xml:space="preserve">хотропных веществах»</w:t>
            </w:r>
            <w:r>
              <w:rPr>
                <w:color w:val="000000" w:themeColor="text1"/>
                <w:sz w:val="20"/>
              </w:rPr>
              <w:t xml:space="preserve">, приходящейся на 12 месяцев перед месяцем подачи заявления</w:t>
            </w:r>
            <w:r>
              <w:rPr>
                <w:color w:val="000000" w:themeColor="text1"/>
                <w:sz w:val="20"/>
              </w:rPr>
              <w:t xml:space="preserve">; </w:t>
            </w:r>
            <w:r>
              <w:rPr>
                <w:color w:val="000000" w:themeColor="text1"/>
                <w:sz w:val="20"/>
              </w:rPr>
            </w:r>
            <w:r>
              <w:rPr>
                <w:color w:val="000000" w:themeColor="text1"/>
                <w:sz w:val="20"/>
              </w:rPr>
            </w:r>
          </w:p>
          <w:p>
            <w:pPr>
              <w:pStyle w:val="1072"/>
              <w:spacing w:before="0" w:beforeAutospacing="0" w:after="0" w:afterAutospacing="0"/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д</w:t>
            </w:r>
            <w:r>
              <w:rPr>
                <w:color w:val="000000" w:themeColor="text1"/>
                <w:sz w:val="20"/>
              </w:rPr>
              <w:t xml:space="preserve">) смерть трудоспособного члена семьи заявителя (уста</w:t>
            </w:r>
            <w:r>
              <w:rPr>
                <w:color w:val="000000" w:themeColor="text1"/>
                <w:sz w:val="20"/>
              </w:rPr>
              <w:t xml:space="preserve">новление факта смерти, объявление умершим) либо признание безвестно отсутствующим в случае наступления таких обстоятельств в период 12 месяцев перед месяцем подачи заявления </w:t>
            </w: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</w:p>
        </w:tc>
        <w:tc>
          <w:tcPr>
            <w:tcW w:w="1669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/>
        <w:tblPrEx/>
        <w:tc>
          <w:tcPr>
            <w:tcW w:w="73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581" w:type="dxa"/>
            <w:vMerge w:val="continue"/>
            <w:noWrap w:val="false"/>
            <w:textDirection w:val="lrTb"/>
            <w:vAlign w:val="center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802" w:type="dxa"/>
            <w:noWrap w:val="false"/>
            <w:textDirection w:val="lrTb"/>
          </w:tcPr>
          <w:p>
            <w:pPr>
              <w:pStyle w:val="1072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color w:val="000000" w:themeColor="text1"/>
                <w:sz w:val="20"/>
              </w:rPr>
            </w:r>
            <w:r>
              <w:rPr>
                <w:iCs/>
                <w:sz w:val="20"/>
              </w:rPr>
              <w:t xml:space="preserve">гражданин Российской Федерации, постоянно проживающий на территории Российской Федерации, из числа </w:t>
            </w:r>
            <w:r>
              <w:rPr>
                <w:color w:val="000000" w:themeColor="text1"/>
                <w:sz w:val="20"/>
              </w:rPr>
              <w:t xml:space="preserve">участников</w:t>
            </w:r>
            <w:r>
              <w:rPr>
                <w:color w:val="000000" w:themeColor="text1"/>
                <w:sz w:val="20"/>
              </w:rPr>
              <w:t xml:space="preserve"> специальной военной операции и иных лиц, указанных в части 1 статьи 8.2 Федерального закона </w:t>
            </w:r>
            <w:r>
              <w:rPr>
                <w:sz w:val="20"/>
              </w:rPr>
              <w:t xml:space="preserve">от 17.07.1999 </w:t>
            </w:r>
            <w:r>
              <w:rPr>
                <w:color w:val="000000" w:themeColor="text1"/>
                <w:sz w:val="20"/>
              </w:rPr>
              <w:t xml:space="preserve">№ 178-ФЗ «О государственной социальной помощи»</w:t>
            </w:r>
            <w:r>
              <w:rPr>
                <w:color w:val="000000" w:themeColor="text1"/>
                <w:sz w:val="20"/>
              </w:rPr>
              <w:t xml:space="preserve"> обратившийся в целях </w:t>
            </w:r>
            <w:r>
              <w:rPr>
                <w:color w:val="000000" w:themeColor="text1"/>
                <w:sz w:val="20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реализации мероприятия по осуществлению индивидуальной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предпринимательской деятельности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1669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/>
        <w:tblPrEx/>
        <w:tc>
          <w:tcPr>
            <w:tcW w:w="733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6</w:t>
            </w:r>
          </w:p>
        </w:tc>
        <w:tc>
          <w:tcPr>
            <w:tcW w:w="2581" w:type="dxa"/>
            <w:vMerge w:val="restart"/>
            <w:noWrap w:val="false"/>
            <w:textDirection w:val="lrTb"/>
            <w:vAlign w:val="center"/>
          </w:tcPr>
          <w:p>
            <w:r>
              <w:rPr>
                <w:sz w:val="20"/>
              </w:rPr>
              <w:t xml:space="preserve">Изменение способа доставки государственной социальной помощи на основании социального контракта</w:t>
            </w:r>
            <w:r>
              <w:rPr>
                <w:sz w:val="20"/>
              </w:rPr>
              <w:t xml:space="preserve">/отказ в предоставлении Услуги</w:t>
            </w:r>
          </w:p>
        </w:tc>
        <w:tc>
          <w:tcPr>
            <w:tcW w:w="4802" w:type="dxa"/>
            <w:noWrap w:val="false"/>
            <w:textDirection w:val="lrTb"/>
          </w:tcPr>
          <w:p>
            <w:pPr>
              <w:pStyle w:val="1072"/>
              <w:spacing w:before="0" w:beforeAutospacing="0" w:after="0" w:afterAutospacing="0"/>
              <w:rPr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Граждане, подавшие заявление о предоставлении Услуги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69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1Б</w:t>
            </w:r>
          </w:p>
        </w:tc>
      </w:tr>
      <w:tr>
        <w:trPr/>
        <w:tblPrEx/>
        <w:tc>
          <w:tcPr>
            <w:tcW w:w="733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7</w:t>
            </w:r>
          </w:p>
        </w:tc>
        <w:tc>
          <w:tcPr>
            <w:tcW w:w="2581" w:type="dxa"/>
            <w:vMerge w:val="restart"/>
            <w:noWrap w:val="false"/>
            <w:textDirection w:val="lrTb"/>
            <w:vAlign w:val="center"/>
          </w:tcPr>
          <w:p>
            <w:r>
              <w:rPr>
                <w:sz w:val="20"/>
              </w:rPr>
              <w:t xml:space="preserve">Отзыв заявления о </w:t>
            </w:r>
            <w:r>
              <w:rPr>
                <w:sz w:val="20"/>
              </w:rPr>
              <w:t xml:space="preserve">предоставлении Услуги</w:t>
            </w:r>
            <w:r>
              <w:rPr>
                <w:sz w:val="20"/>
              </w:rPr>
              <w:t xml:space="preserve"> или</w:t>
            </w:r>
            <w:r>
              <w:rPr>
                <w:sz w:val="20"/>
              </w:rPr>
              <w:t xml:space="preserve"> о прекращении Услуги до принятия решения о назначении или прекращении Услуги</w:t>
            </w:r>
          </w:p>
        </w:tc>
        <w:tc>
          <w:tcPr>
            <w:tcW w:w="4802" w:type="dxa"/>
            <w:noWrap w:val="false"/>
            <w:textDirection w:val="lrTb"/>
          </w:tcPr>
          <w:p>
            <w:pPr>
              <w:pStyle w:val="1072"/>
              <w:spacing w:before="0" w:beforeAutospacing="0" w:after="0" w:afterAutospacing="0"/>
              <w:rPr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Граждане, подавшие заявление о предоставлении Услуги</w:t>
            </w:r>
            <w:r>
              <w:rPr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14:ligatures w14:val="none"/>
              </w:rPr>
            </w:r>
          </w:p>
          <w:p>
            <w:r>
              <w:rPr>
                <w:iCs/>
                <w:sz w:val="20"/>
              </w:rPr>
            </w:r>
          </w:p>
        </w:tc>
        <w:tc>
          <w:tcPr>
            <w:tcW w:w="1669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  <w:t xml:space="preserve">В</w:t>
            </w:r>
          </w:p>
        </w:tc>
      </w:tr>
    </w:tbl>
    <w:p>
      <w:pPr>
        <w:pStyle w:val="1007"/>
        <w:numPr>
          <w:numId w:val="39"/>
          <w:ilvl w:val="0"/>
        </w:numPr>
        <w:jc w:val="center"/>
      </w:pPr>
      <w:r>
        <w:rPr>
          <w:b/>
          <w:sz w:val="28"/>
        </w:rPr>
        <w:t xml:space="preserve">Исчерпывающий перечень документов, необходимых</w:t>
      </w:r>
      <w:r>
        <w:rPr>
          <w:b/>
          <w:sz w:val="28"/>
        </w:rPr>
        <w:br/>
        <w:t xml:space="preserve">для предоставления Услуги</w:t>
      </w:r>
    </w:p>
    <w:p>
      <w:r>
        <w:rPr>
          <w:b/>
        </w:rPr>
        <w:t xml:space="preserve">Таблица </w:t>
      </w:r>
      <w:r>
        <w:rPr>
          <w:b/>
        </w:rPr>
        <w:t xml:space="preserve">№ </w:t>
      </w:r>
      <w:r>
        <w:rPr>
          <w:b/>
        </w:rPr>
        <w:t xml:space="preserve">2</w:t>
      </w:r>
    </w:p>
    <w:tbl>
      <w:tblPr>
        <w:tblW w:w="4795" w:type="pct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381"/>
        <w:gridCol w:w="4953"/>
        <w:gridCol w:w="2617"/>
      </w:tblGrid>
      <w:tr>
        <w:trPr>
          <w:tblHeader/>
        </w:trPr>
        <w:tblPrEx/>
        <w:tc>
          <w:tcPr>
            <w:tcW w:w="567" w:type="dxa"/>
            <w:shd w:val="clear" w:color="auto" w:fill="d9e1f2"/>
            <w:noWrap w:val="false"/>
            <w:textDirection w:val="lrTb"/>
            <w:vAlign w:val="center"/>
          </w:tcPr>
          <w:p>
            <w:pPr>
              <w:jc w:val="center"/>
            </w:pPr>
            <w:r>
              <w:rPr>
                <w:b/>
                <w:sz w:val="20"/>
              </w:rPr>
              <w:t xml:space="preserve">№</w:t>
            </w:r>
          </w:p>
        </w:tc>
        <w:tc>
          <w:tcPr>
            <w:tcW w:w="1418" w:type="dxa"/>
            <w:shd w:val="clear" w:color="auto" w:fill="d9e1f2"/>
            <w:noWrap w:val="false"/>
            <w:textDirection w:val="lrTb"/>
            <w:vAlign w:val="center"/>
          </w:tcPr>
          <w:p>
            <w:pPr>
              <w:jc w:val="center"/>
            </w:pPr>
            <w:r>
              <w:rPr>
                <w:b/>
                <w:sz w:val="20"/>
              </w:rPr>
              <w:t xml:space="preserve">Идентификатор отдельного признака заявителей</w:t>
            </w:r>
          </w:p>
        </w:tc>
        <w:tc>
          <w:tcPr>
            <w:tcW w:w="5103" w:type="dxa"/>
            <w:shd w:val="clear" w:color="auto" w:fill="d9e1f2"/>
            <w:noWrap w:val="false"/>
            <w:textDirection w:val="lrTb"/>
            <w:vAlign w:val="center"/>
          </w:tcPr>
          <w:p>
            <w:pPr>
              <w:jc w:val="center"/>
            </w:pPr>
            <w:r>
              <w:rPr>
                <w:b/>
                <w:sz w:val="20"/>
              </w:rPr>
              <w:t xml:space="preserve">Перечень необходимых для предоставления Услуги документов</w:t>
            </w:r>
          </w:p>
        </w:tc>
        <w:tc>
          <w:tcPr>
            <w:tcW w:w="2693" w:type="dxa"/>
            <w:shd w:val="clear" w:color="auto" w:fill="d9e1f2"/>
            <w:noWrap w:val="false"/>
            <w:textDirection w:val="lrTb"/>
            <w:vAlign w:val="center"/>
          </w:tcPr>
          <w:p>
            <w:pPr>
              <w:jc w:val="center"/>
            </w:pPr>
            <w:r>
              <w:rPr>
                <w:b/>
                <w:sz w:val="20"/>
              </w:rPr>
              <w:t xml:space="preserve">Способ предоставления, требования</w:t>
            </w:r>
          </w:p>
        </w:tc>
      </w:tr>
      <w:tr>
        <w:trPr/>
        <w:tblPrEx/>
        <w:tc>
          <w:tcPr>
            <w:tcW w:w="9781" w:type="dxa"/>
            <w:gridSpan w:val="4"/>
            <w:noWrap w:val="false"/>
            <w:textDirection w:val="lrTb"/>
          </w:tcPr>
          <w:p>
            <w:pPr>
              <w:jc w:val="center"/>
            </w:pPr>
            <w:r>
              <w:rPr>
                <w:b/>
                <w:i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>
              <w:rPr>
                <w:b/>
                <w:i/>
                <w:sz w:val="20"/>
              </w:rPr>
              <w:t xml:space="preserve"> (в зависимости от конкретной жизненной ситуации)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1А-5</w:t>
            </w:r>
            <w:r>
              <w:rPr>
                <w:b/>
                <w:sz w:val="20"/>
              </w:rPr>
              <w:t xml:space="preserve">А</w:t>
            </w:r>
            <w:r>
              <w:rPr>
                <w:b/>
                <w:sz w:val="20"/>
              </w:rPr>
              <w:t xml:space="preserve">, 1Б, 1В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паспорт</w:t>
            </w:r>
            <w:r>
              <w:rPr>
                <w:b/>
                <w:sz w:val="20"/>
              </w:rPr>
              <w:t xml:space="preserve"> гражданина Российской Федерации (иной документ, удостоверяющий личность гражданина Российской Федерации в соответствии с законодательством Российской Федерации)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ОД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ОД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ЕСИА</w:t>
            </w:r>
            <w:r>
              <w:rPr>
                <w:b/>
                <w:sz w:val="20"/>
              </w:rPr>
              <w:t xml:space="preserve">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документ</w:t>
            </w:r>
            <w:r>
              <w:rPr>
                <w:b/>
                <w:sz w:val="20"/>
              </w:rPr>
              <w:t xml:space="preserve"> (свидетельство) о рождении, выданный компетентным органом иностранного государства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(п), ПР (н)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(п), ПР (н)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ЕСИА</w:t>
            </w:r>
            <w:r>
              <w:rPr>
                <w:b/>
                <w:sz w:val="20"/>
              </w:rPr>
              <w:t xml:space="preserve">, ПР (н)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документ</w:t>
            </w:r>
            <w:r>
              <w:rPr>
                <w:b/>
                <w:sz w:val="20"/>
              </w:rPr>
              <w:t xml:space="preserve"> (свидетельство) о смерти, выданный компетентным органом иностранного государства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(п), ПР (н)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(п), ПР (н)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ЕСИА</w:t>
            </w:r>
            <w:r>
              <w:rPr>
                <w:b/>
                <w:sz w:val="20"/>
              </w:rPr>
              <w:t xml:space="preserve">, ПР (н)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1А-5А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документ</w:t>
            </w:r>
            <w:r>
              <w:rPr>
                <w:b/>
                <w:sz w:val="20"/>
              </w:rPr>
              <w:t xml:space="preserve"> (свидетельство) о заключении (расторжении) брака, выданный компетентным органом иностранного государства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(п), ПР (н)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(п), ПР (н)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ЕСИА</w:t>
            </w:r>
            <w:r>
              <w:rPr>
                <w:b/>
                <w:sz w:val="20"/>
              </w:rPr>
              <w:t xml:space="preserve">, ПР (н)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решение</w:t>
            </w:r>
            <w:r>
              <w:rPr>
                <w:b/>
                <w:sz w:val="20"/>
              </w:rPr>
              <w:t xml:space="preserve"> органа опеки и попечительства об установлении опеки (попечительства), выданное компетентным органом иностранного государства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(п), ПР (н)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(п), ПР (н)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ЕСИА</w:t>
            </w:r>
            <w:r>
              <w:rPr>
                <w:b/>
                <w:sz w:val="20"/>
              </w:rPr>
              <w:t xml:space="preserve">, ПР (н)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1А-5А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color w:val="262629"/>
                <w:sz w:val="20"/>
              </w:rPr>
              <w:t xml:space="preserve">акт</w:t>
            </w:r>
            <w:r>
              <w:rPr>
                <w:b/>
                <w:color w:val="262629"/>
                <w:sz w:val="20"/>
              </w:rPr>
              <w:t xml:space="preserve"> органа опеки и попечительства о назначении опекуна (попечителя), выданный компетентным органом иностранного государства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(п), ПР (н)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(п), ПР (н)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ЕСИА</w:t>
            </w:r>
            <w:r>
              <w:rPr>
                <w:b/>
                <w:sz w:val="20"/>
              </w:rPr>
              <w:t xml:space="preserve">, ПР (н)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ведения о доходах сотрудников органов фе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деральной службы безопасности, органов государственной охраны, органов внутренних дел Российской Федерации, Главного управления по обеспечению деятельности оперативных подразделений Федеральной службы исполнения наказаний и других органов, в которых законо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дательством Российской Федерации предусмотрено прохождение федеральной государственной службы, связанной с правоохранительной деятельностью (за исключением военнослужащих, граждан, пребывающих в добровольческих формированиях, сотрудников войск национальной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Федерации, уголовно-исполнительной системы Российской Федерации)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ведения о размере пенсии, получаемой лицами, проходящими (проходившими) военную службу, службу в учреждениях и органах уголовно-исполнительной системы Российской Федерации, органах федеральной службы безопасности, органах государственной охраны, органах в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Президента Российской Федерации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ведения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о получаемых алиментах (за исключением случая, когда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алиментов)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ведения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 о факте обучения 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заявителя и (или) членов его семьи в образовательной организации высшего образования по очной форме обучения и получении (отсутствии) стипендии, в том числе в период, за который рассчитывается среднедушевой доход одиноко проживающего гражданина (его семьи)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ОД</w:t>
            </w:r>
            <w:r>
              <w:rPr>
                <w:b/>
                <w:sz w:val="20"/>
              </w:rPr>
              <w:t xml:space="preserve">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ОД</w:t>
            </w:r>
            <w:r>
              <w:rPr>
                <w:b/>
                <w:sz w:val="20"/>
              </w:rPr>
              <w:t xml:space="preserve">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color w:val="262629"/>
                <w:sz w:val="20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сведения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о нахождении заявителя и (или) членов его семьи на полном государственном обеспечении (в отношении лиц, находящихся на полном государственном обеспечении)</w:t>
            </w:r>
            <w:r>
              <w:rPr>
                <w:b/>
                <w:color w:val="262629"/>
                <w:sz w:val="20"/>
              </w:rPr>
            </w:r>
            <w:r>
              <w:rPr>
                <w:b/>
                <w:color w:val="262629"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color w:val="262629"/>
                <w:sz w:val="20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ведения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о прохождении заявителем и (или) члена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ми его семьи военной службы по призыву, а также о статусе военнослужащего,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</w:t>
            </w:r>
            <w:r>
              <w:rPr>
                <w:b/>
                <w:color w:val="262629"/>
                <w:sz w:val="20"/>
              </w:rPr>
            </w:r>
            <w:r>
              <w:rPr>
                <w:b/>
                <w:color w:val="262629"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ведения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о нахождении заявителя и (или) членов его семьи на принудительном лечении по решению суда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color w:val="262629"/>
                <w:sz w:val="20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справка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о применении меры пресечения в виде заключения под стражу</w:t>
            </w:r>
            <w:r>
              <w:rPr>
                <w:b/>
                <w:color w:val="262629"/>
                <w:sz w:val="20"/>
              </w:rPr>
            </w:r>
            <w:r>
              <w:rPr>
                <w:b/>
                <w:color w:val="262629"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color w:val="262629"/>
                <w:sz w:val="20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справка о размере стипендии и иных денежных выплат, предусмотренных законодательст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вом Российской Федерации, выплачиваемых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программам подготовки научных и научно-педагогических кадров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,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лицам, обучающимся в духовных образовательных организациях, а также о размерах компенсационных выплат указанным категориям граждан в период их нахождения в академическом отпуске по медицинским показаниям</w:t>
            </w:r>
            <w:r>
              <w:rPr>
                <w:b/>
                <w:color w:val="262629"/>
                <w:sz w:val="20"/>
              </w:rPr>
            </w:r>
            <w:r>
              <w:rPr>
                <w:b/>
                <w:color w:val="262629"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ведения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о суммах ежемесячного пожизненного содержания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судей, вышедших в отставку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ведения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о сумме полученной компенсации, выплачиваемой государственным органом или общественным объединением за время исполнения государственных или общественных обязанностей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ведения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о суммах дохода, полученного от источников за пределами Российской Федерации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19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  <w:tc>
          <w:tcPr>
            <w:tcW w:w="5103" w:type="dxa"/>
            <w:noWrap w:val="false"/>
            <w:textDirection w:val="lrTb"/>
          </w:tcPr>
          <w:p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правка о размере едино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временного пособия при увольнении с военной службы, службы в учреждениях и органах уголовно-исполнительной системы Российской Федерации, органах Федеральной службы безопасности, органах государственной охраны, органах внутренних дел Российской Федерации, т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аможенных органах Российской Федерации,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Президента Российской Федерации, а также из иных органов, в которых 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законодательством Российской Федерации предусмотрено прохождение федеральной государственной службы, связанной с правоохранительной деятельностью</w:t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ведения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о полученных грантах, субсидиях и других поступлениях, имеющих целевой характер расходования и предоставляемых в рамках поддержки предпринимательства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21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решение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суда о признании гражданина безвестно отсутствующим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решение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суда об объявлении лица умершим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ведения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о нахождении заявителя и (или) членов его семьи в розыске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2А, 5А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б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изнес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-план в целях реализации социального контракта по мероприятию «Осуществление индивидуальной предпринимательской деятельности»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rFonts w:eastAsiaTheme="minorHAnsi"/>
                <w:b/>
                <w:color w:val="auto"/>
                <w:sz w:val="20"/>
                <w:highlight w:val="green"/>
                <w:lang w:eastAsia="en-US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rFonts w:eastAsiaTheme="minorHAnsi"/>
                <w:b/>
                <w:color w:val="auto"/>
                <w:sz w:val="20"/>
                <w:highlight w:val="green"/>
                <w:lang w:eastAsia="en-US"/>
              </w:rPr>
            </w:r>
            <w:r>
              <w:rPr>
                <w:rFonts w:eastAsiaTheme="minorHAnsi"/>
                <w:b/>
                <w:color w:val="auto"/>
                <w:sz w:val="20"/>
                <w:highlight w:val="green"/>
                <w:lang w:eastAsia="en-US"/>
              </w:rPr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3А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мета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расходов в целях реализации социального контракта по мероприятию «Ведение личного подсобного хозяйства»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ведения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 о денежных средствах на приобретение недвижимого имущества, автотранспортного средства, самоходной машины, стоимость приобретения которых оплачена в рамках целевой государственной социальной поддержки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ведения</w:t>
            </w:r>
            <w:r>
              <w:rPr>
                <w:rFonts w:eastAsiaTheme="minorHAnsi"/>
                <w:b/>
                <w:color w:val="auto"/>
                <w:sz w:val="20"/>
                <w:lang w:eastAsia="en-US"/>
              </w:rPr>
              <w:t xml:space="preserve"> о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4А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b/>
                <w:sz w:val="20"/>
              </w:rPr>
              <w:t xml:space="preserve">с</w:t>
            </w:r>
            <w:r>
              <w:rPr>
                <w:b/>
                <w:sz w:val="20"/>
              </w:rPr>
              <w:t xml:space="preserve">ведения, подтверждающие наличие трудной жизненной ситуации и категорию семьи (одиноко проживающего гражданина), которым оказывается Услуга по мероприятию, указанному в </w:t>
            </w:r>
            <w:hyperlink r:id="rId14" w:tooltip="https://login.consultant.ru/link/?req=doc&amp;base=LAW&amp;n=509477&amp;dst=100585" w:history="1">
              <w:r>
                <w:rPr>
                  <w:b/>
                  <w:sz w:val="20"/>
                </w:rPr>
                <w:t xml:space="preserve">подпункте «г» пункта 4</w:t>
              </w:r>
            </w:hyperlink>
            <w:r>
              <w:rPr>
                <w:b/>
                <w:sz w:val="20"/>
              </w:rPr>
              <w:t xml:space="preserve"> Правил оказания субъектам Российской Федерации на условиях </w:t>
            </w:r>
            <w:r>
              <w:rPr>
                <w:b/>
                <w:sz w:val="20"/>
              </w:rPr>
              <w:t xml:space="preserve">софинансирования</w:t>
            </w:r>
            <w:r>
              <w:rPr>
                <w:b/>
                <w:sz w:val="20"/>
              </w:rPr>
              <w:t xml:space="preserve"> из федерального бюджета государственной социальной помощи на основании социального контракта в части, не определенной Федеральным законом «О государственной социальной помощи», утвержденных постановлением Правительства Ро</w:t>
            </w:r>
            <w:r>
              <w:rPr>
                <w:b/>
                <w:sz w:val="20"/>
              </w:rPr>
              <w:t xml:space="preserve">ссийской Федерации от 16.11.2023</w:t>
            </w:r>
            <w:r>
              <w:rPr>
                <w:b/>
                <w:sz w:val="20"/>
              </w:rPr>
              <w:t xml:space="preserve"> № 1931 «Об оказании субъектами Российской Федерации на условиях </w:t>
            </w:r>
            <w:r>
              <w:rPr>
                <w:b/>
                <w:sz w:val="20"/>
              </w:rPr>
              <w:t xml:space="preserve">софинансирования</w:t>
            </w:r>
            <w:r>
              <w:rPr>
                <w:b/>
                <w:sz w:val="20"/>
              </w:rPr>
              <w:t xml:space="preserve"> из федерального бюджета государственной социальной помощи на основании социального контракта в части, не определенной Федеральным законом «О государственной социальной помощи»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29</w:t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1А-5А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b/>
                <w:sz w:val="20"/>
              </w:rPr>
              <w:t xml:space="preserve">с</w:t>
            </w:r>
            <w:r>
              <w:rPr>
                <w:b/>
                <w:sz w:val="20"/>
              </w:rPr>
              <w:t xml:space="preserve">ведения</w:t>
            </w:r>
            <w:r>
              <w:rPr>
                <w:b/>
                <w:sz w:val="20"/>
              </w:rPr>
              <w:t xml:space="preserve">, необходимые для формирования анкеты собеседования с заявителем, претендующим на получение государственной социальной помощи на основании социального контракт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2А, 5А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b/>
                <w:sz w:val="20"/>
              </w:rPr>
              <w:t xml:space="preserve">с</w:t>
            </w:r>
            <w:r>
              <w:rPr>
                <w:b/>
                <w:sz w:val="20"/>
              </w:rPr>
              <w:t xml:space="preserve">ведения</w:t>
            </w:r>
            <w:r>
              <w:rPr>
                <w:b/>
                <w:sz w:val="20"/>
              </w:rPr>
              <w:t xml:space="preserve"> о наличии постановки на учет в налоговом органе в качестве налогоплательщика налога на профессиональный доход и о субъекте </w:t>
            </w:r>
            <w:r>
              <w:rPr>
                <w:b/>
                <w:sz w:val="20"/>
              </w:rPr>
              <w:t xml:space="preserve">Российской Федерации, в котором гражданин осуществляет деятельность в качестве налогоплательщика налога на профессиональный доход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31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</w:rPr>
            </w:pPr>
            <w:r>
              <w:rPr>
                <w:b/>
                <w:sz w:val="20"/>
              </w:rPr>
              <w:t xml:space="preserve">4А, 5А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р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екомендация на заклю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чение социального контракта, выданная Государственным фондом поддержки участников специальной военной операции «Защитники Отечества» (филиалом Государственного фонда поддержки участников специальной военной операции «Защитники Отечества») в соответствии с </w:t>
            </w:r>
            <w:hyperlink r:id="rId15" w:tooltip="https://login.consultant.ru/link/?req=doc&amp;base=LAW&amp;n=509477&amp;dst=100819" w:history="1">
              <w:r>
                <w:rPr>
                  <w:rFonts w:eastAsiaTheme="minorHAnsi"/>
                  <w:b/>
                  <w:bCs/>
                  <w:color w:val="000000" w:themeColor="text1"/>
                  <w:sz w:val="20"/>
                  <w:lang w:eastAsia="en-US"/>
                </w:rPr>
                <w:t xml:space="preserve">Правилами</w:t>
              </w:r>
            </w:hyperlink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 выдачи Государственным фондом поддержки участни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ков специальной военной операции «Защитники Отечества» (филиалом Государственного фонда поддержки участников специальной военной операции «Защитники Отечества») рекомендации на заключение социального контракта, утвержденными постановлением Правительства Ро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ссийской Федерации от 16.11.2023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 № 1931 «Об оказании субъектами Российской Федерации на условиях 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софинансирования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 из федерального бюджета государственной социальной помощи на основании социального контракта в части, не определенной Федеральным законом «О государственной социальной помощи»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ОД</w:t>
            </w:r>
            <w:r>
              <w:rPr>
                <w:b/>
                <w:sz w:val="20"/>
              </w:rPr>
              <w:t xml:space="preserve">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ОД</w:t>
            </w:r>
            <w:r>
              <w:rPr>
                <w:b/>
                <w:sz w:val="20"/>
              </w:rPr>
              <w:t xml:space="preserve">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</w:rPr>
            </w:pPr>
            <w:r>
              <w:rPr>
                <w:b/>
                <w:sz w:val="20"/>
              </w:rPr>
              <w:t xml:space="preserve">4А, 5А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ведения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 об отказе участника специальной военной операции от права на Услугу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ОД</w:t>
            </w:r>
            <w:r>
              <w:rPr>
                <w:b/>
                <w:sz w:val="20"/>
              </w:rPr>
              <w:t xml:space="preserve">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ОД</w:t>
            </w:r>
            <w:r>
              <w:rPr>
                <w:b/>
                <w:sz w:val="20"/>
              </w:rPr>
              <w:t xml:space="preserve">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rFonts w:eastAsiaTheme="minorHAnsi"/>
                <w:bCs/>
                <w:color w:val="auto"/>
                <w:sz w:val="20"/>
                <w:lang w:eastAsia="en-US"/>
              </w:rPr>
            </w:pPr>
            <w:r>
              <w:rPr>
                <w:b/>
                <w:sz w:val="20"/>
              </w:rPr>
              <w:t xml:space="preserve">ПП ЭП =&gt; ЕПГУ</w:t>
            </w:r>
            <w:r>
              <w:rPr>
                <w:rFonts w:eastAsiaTheme="minorHAnsi"/>
                <w:bCs/>
                <w:color w:val="auto"/>
                <w:sz w:val="2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auto"/>
                <w:sz w:val="20"/>
                <w:lang w:eastAsia="en-US"/>
              </w:rPr>
              <w:t xml:space="preserve">посредством пр</w:t>
            </w:r>
            <w:r>
              <w:rPr>
                <w:rFonts w:eastAsiaTheme="minorHAnsi"/>
                <w:bCs/>
                <w:color w:val="auto"/>
                <w:sz w:val="20"/>
                <w:lang w:eastAsia="en-US"/>
              </w:rPr>
              <w:t xml:space="preserve">едставления копии заявления участника специальной военной операции об отказе участника специальной военной операции от права на Услугу, представленного в Государственный фонд поддержки участнико</w:t>
            </w:r>
            <w:r>
              <w:rPr>
                <w:rFonts w:eastAsiaTheme="minorHAnsi"/>
                <w:bCs/>
                <w:color w:val="auto"/>
                <w:sz w:val="20"/>
                <w:lang w:eastAsia="en-US"/>
              </w:rPr>
              <w:t xml:space="preserve">в специальной военной операции «Защитники Отечества»</w:t>
            </w:r>
            <w:r>
              <w:rPr>
                <w:rFonts w:eastAsiaTheme="minorHAnsi"/>
                <w:bCs/>
                <w:color w:val="auto"/>
                <w:sz w:val="20"/>
                <w:lang w:eastAsia="en-US"/>
              </w:rPr>
              <w:t xml:space="preserve"> (филиал Государственного фонда поддержки участнико</w:t>
            </w:r>
            <w:r>
              <w:rPr>
                <w:rFonts w:eastAsiaTheme="minorHAnsi"/>
                <w:bCs/>
                <w:color w:val="auto"/>
                <w:sz w:val="20"/>
                <w:lang w:eastAsia="en-US"/>
              </w:rPr>
              <w:t xml:space="preserve">в специальной военной операции «</w:t>
            </w:r>
            <w:r>
              <w:rPr>
                <w:rFonts w:eastAsiaTheme="minorHAnsi"/>
                <w:bCs/>
                <w:color w:val="auto"/>
                <w:sz w:val="20"/>
                <w:lang w:eastAsia="en-US"/>
              </w:rPr>
              <w:t xml:space="preserve">Защитни</w:t>
            </w:r>
            <w:r>
              <w:rPr>
                <w:rFonts w:eastAsiaTheme="minorHAnsi"/>
                <w:bCs/>
                <w:color w:val="auto"/>
                <w:sz w:val="20"/>
                <w:lang w:eastAsia="en-US"/>
              </w:rPr>
              <w:t xml:space="preserve">ки Отечества»</w:t>
            </w:r>
            <w:r>
              <w:rPr>
                <w:rFonts w:eastAsiaTheme="minorHAnsi"/>
                <w:bCs/>
                <w:color w:val="auto"/>
                <w:sz w:val="20"/>
                <w:lang w:eastAsia="en-US"/>
              </w:rPr>
              <w:t xml:space="preserve">)</w:t>
            </w:r>
            <w:r>
              <w:rPr>
                <w:rFonts w:eastAsiaTheme="minorHAnsi"/>
                <w:bCs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Cs/>
                <w:color w:val="auto"/>
                <w:sz w:val="20"/>
                <w:lang w:eastAsia="en-US"/>
              </w:rPr>
            </w:r>
          </w:p>
        </w:tc>
      </w:tr>
      <w:tr>
        <w:trPr/>
        <w:tblPrEx/>
        <w:tc>
          <w:tcPr>
            <w:tcW w:w="9781" w:type="dxa"/>
            <w:gridSpan w:val="4"/>
            <w:noWrap w:val="false"/>
            <w:textDirection w:val="lrTb"/>
          </w:tcPr>
          <w:p>
            <w:pPr>
              <w:jc w:val="center"/>
            </w:pPr>
            <w:r>
              <w:rPr>
                <w:b/>
                <w:i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свидетельство</w:t>
            </w:r>
            <w:r>
              <w:rPr>
                <w:b/>
                <w:sz w:val="20"/>
              </w:rPr>
              <w:t xml:space="preserve"> о рождении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свидетельство</w:t>
            </w:r>
            <w:r>
              <w:rPr>
                <w:b/>
                <w:sz w:val="20"/>
              </w:rPr>
              <w:t xml:space="preserve"> о смерти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свидетельство</w:t>
            </w:r>
            <w:r>
              <w:rPr>
                <w:b/>
                <w:sz w:val="20"/>
              </w:rPr>
              <w:t xml:space="preserve"> о заключении брака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свидетельство</w:t>
            </w:r>
            <w:r>
              <w:rPr>
                <w:b/>
                <w:sz w:val="20"/>
              </w:rPr>
              <w:t xml:space="preserve"> о расторжении брака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color w:val="262629"/>
                <w:sz w:val="20"/>
              </w:rPr>
              <w:t xml:space="preserve">решение</w:t>
            </w:r>
            <w:r>
              <w:rPr>
                <w:b/>
                <w:color w:val="262629"/>
                <w:sz w:val="20"/>
              </w:rPr>
              <w:t xml:space="preserve"> органа опеки и попечительства об установлении опеки или попечительства над ребенком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об опекуне (попечителе) ребенка, в отношении которого подано заявление о предоставлении Услуги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39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color w:val="262629"/>
                <w:sz w:val="20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об ограничении дееспособности или признании родителя либо иного законного представителя ребенка недееспособным</w:t>
            </w:r>
            <w:r>
              <w:rPr>
                <w:b/>
                <w:color w:val="262629"/>
                <w:sz w:val="20"/>
              </w:rPr>
            </w:r>
            <w:r>
              <w:rPr>
                <w:b/>
                <w:color w:val="262629"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/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41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color w:val="262629"/>
                <w:sz w:val="20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 вознаграждении за выполнение трудовых или иных обязанностей, включая выплаты стимулирующего характера, вознаг</w:t>
            </w:r>
            <w:r>
              <w:rPr>
                <w:b/>
                <w:color w:val="262629"/>
                <w:sz w:val="20"/>
              </w:rPr>
              <w:t xml:space="preserve">раждении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попечительства на возмездных условиях (договору о приемной семье, договору о патронатной семье)</w:t>
            </w:r>
            <w:r>
              <w:rPr>
                <w:b/>
                <w:color w:val="262629"/>
                <w:sz w:val="20"/>
              </w:rPr>
            </w:r>
            <w:r>
              <w:rPr>
                <w:b/>
                <w:color w:val="262629"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42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с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веде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ния о доходах военнослужащих, граждан, пребывающих в добровольческих формированиях, сотрудников войск национальной гвардии Российской Федерации, уголовно-исполнительной системы Российской Федерации (за исключением сотрудников Главного управления по обеспеч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  <w:t xml:space="preserve">ению деятельности оперативных подразделений Федеральной службы исполнения наказаний),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color w:val="262629"/>
                <w:sz w:val="20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 суммах пенсии</w:t>
            </w:r>
            <w:r>
              <w:rPr>
                <w:b/>
                <w:color w:val="262629"/>
                <w:sz w:val="20"/>
              </w:rPr>
              <w:t xml:space="preserve">, пособий и иных аналогичных выплат, в том числе выплат по обязательному социальному страхованию и выплат компенсационного характера, полученных в соответствии с законодательством Российской Федерации и (или) законодательством субъекта Российской Федерации</w:t>
            </w:r>
            <w:r>
              <w:rPr>
                <w:b/>
                <w:color w:val="262629"/>
                <w:sz w:val="20"/>
              </w:rPr>
            </w:r>
            <w:r>
              <w:rPr>
                <w:b/>
                <w:color w:val="262629"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color w:val="262629"/>
                <w:sz w:val="20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 выплатах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</w:t>
            </w:r>
            <w:r>
              <w:rPr>
                <w:b/>
                <w:color w:val="262629"/>
                <w:sz w:val="20"/>
              </w:rPr>
            </w:r>
            <w:r>
              <w:rPr>
                <w:b/>
                <w:color w:val="262629"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color w:val="262629"/>
                <w:sz w:val="20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</w:t>
            </w:r>
            <w:r>
              <w:rPr>
                <w:b/>
                <w:color w:val="262629"/>
                <w:sz w:val="20"/>
              </w:rPr>
            </w:r>
            <w:r>
              <w:rPr>
                <w:b/>
                <w:color w:val="262629"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46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color w:val="262629"/>
                <w:sz w:val="20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 наличии статуса безработного или ищущего работу на дату подачи заявления и (или) в период, за который рассчитывается среднедушевой доход семьи</w:t>
            </w:r>
            <w:r>
              <w:rPr>
                <w:b/>
                <w:color w:val="262629"/>
                <w:sz w:val="20"/>
              </w:rPr>
            </w:r>
            <w:r>
              <w:rPr>
                <w:b/>
                <w:color w:val="262629"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 дивидендах, процентах и иных доходах, полученных по операциям с ценными бумагами и операциям с производными финансовыми инструментами (с учетом понесенных расходов), а </w:t>
            </w:r>
            <w:r>
              <w:rPr>
                <w:b/>
                <w:color w:val="262629"/>
                <w:sz w:val="20"/>
              </w:rPr>
              <w:t xml:space="preserve">также в связи с участием в управлении организацией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b/>
                <w:color w:val="262629"/>
                <w:sz w:val="20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 доходах в виде процентов по вкладам (остаткам на счетах) в банках</w:t>
            </w:r>
            <w:r>
              <w:rPr>
                <w:b/>
                <w:color w:val="262629"/>
                <w:sz w:val="20"/>
              </w:rPr>
            </w:r>
            <w:r>
              <w:rPr>
                <w:b/>
                <w:color w:val="262629"/>
                <w:sz w:val="20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49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доходах от занятия частной практикой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 доходах, полученных в рамках применения специального налогового режима «Налог на профессиональный доход»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51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 доходах по договорам авторского заказа, об отчуждении исключительного права на результаты интеллектуальной деятельности и лицензионным договорам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52</w:t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r>
              <w:rPr>
                <w:b/>
                <w:color w:val="262629"/>
                <w:sz w:val="20"/>
              </w:rPr>
              <w:t xml:space="preserve">сведения</w:t>
            </w:r>
            <w:r>
              <w:rPr>
                <w:b/>
                <w:color w:val="262629"/>
                <w:sz w:val="20"/>
              </w:rPr>
              <w:t xml:space="preserve"> о налогооблагаемых доходах от реализации имущества, а также доходах от сдачи в аренду (наем, поднаем) имущества</w:t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53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1А-5А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документы</w:t>
            </w:r>
            <w:r>
              <w:rPr>
                <w:b/>
                <w:sz w:val="20"/>
              </w:rPr>
              <w:t xml:space="preserve"> о регистрации по месту жительства и месту пребывания гражданина Российской Федерации в пределах Российской Федерации</w:t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54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1А-5</w:t>
            </w:r>
            <w:r>
              <w:rPr>
                <w:b/>
                <w:sz w:val="20"/>
              </w:rPr>
              <w:t xml:space="preserve">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сведения</w:t>
            </w:r>
            <w:r>
              <w:rPr>
                <w:b/>
                <w:sz w:val="20"/>
              </w:rPr>
              <w:t xml:space="preserve"> о ранее выданных паспортах, удостоверяющих личность гражданина на территории Российской Федерации</w:t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55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b/>
                <w:sz w:val="20"/>
              </w:rPr>
              <w:t xml:space="preserve">сведения</w:t>
            </w:r>
            <w:r>
              <w:rPr>
                <w:b/>
                <w:sz w:val="20"/>
              </w:rPr>
              <w:t xml:space="preserve"> о получаемых алиментах (в случае если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алиментов)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56</w:t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b/>
                <w:sz w:val="20"/>
              </w:rPr>
              <w:t xml:space="preserve">с</w:t>
            </w:r>
            <w:r>
              <w:rPr>
                <w:b/>
                <w:sz w:val="20"/>
              </w:rPr>
              <w:t xml:space="preserve">ведения</w:t>
            </w:r>
            <w:r>
              <w:rPr>
                <w:b/>
                <w:sz w:val="20"/>
              </w:rPr>
              <w:t xml:space="preserve"> о пребывании в местах лишения свободы членов семьи заявителя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57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с</w:t>
            </w:r>
            <w:r>
              <w:rPr>
                <w:b/>
                <w:sz w:val="20"/>
              </w:rPr>
              <w:t xml:space="preserve">правка</w:t>
            </w:r>
            <w:r>
              <w:rPr>
                <w:b/>
                <w:sz w:val="20"/>
              </w:rPr>
              <w:t xml:space="preserve"> об инвалидности</w:t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58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b/>
                <w:sz w:val="20"/>
              </w:rPr>
              <w:t xml:space="preserve">с</w:t>
            </w:r>
            <w:r>
              <w:rPr>
                <w:b/>
                <w:sz w:val="20"/>
              </w:rPr>
              <w:t xml:space="preserve">ведения</w:t>
            </w:r>
            <w:r>
              <w:rPr>
                <w:b/>
                <w:sz w:val="20"/>
              </w:rPr>
              <w:t xml:space="preserve"> о факте обучения заявителя и (или) членов его семь</w:t>
            </w:r>
            <w:r>
              <w:rPr>
                <w:b/>
                <w:sz w:val="20"/>
              </w:rPr>
              <w:t xml:space="preserve">и в общеобразовательной организации или профессиональной образовательной организации по очной форме обучения и получении (отсутствии) стипендии, в том числе в период, за который рассчитывается среднедушевой доход одиноко проживающего гражданина (его семьи)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ОД</w:t>
            </w:r>
            <w:r>
              <w:rPr>
                <w:b/>
                <w:sz w:val="20"/>
              </w:rPr>
              <w:t xml:space="preserve">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ОД</w:t>
            </w:r>
            <w:r>
              <w:rPr>
                <w:b/>
                <w:sz w:val="20"/>
              </w:rPr>
              <w:t xml:space="preserve">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59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с</w:t>
            </w:r>
            <w:r>
              <w:rPr>
                <w:b/>
                <w:sz w:val="20"/>
              </w:rPr>
              <w:t xml:space="preserve">ведения</w:t>
            </w:r>
            <w:r>
              <w:rPr>
                <w:b/>
                <w:sz w:val="20"/>
              </w:rPr>
              <w:t xml:space="preserve"> о суммах единовременной материал</w:t>
            </w:r>
            <w:r>
              <w:rPr>
                <w:b/>
                <w:sz w:val="20"/>
              </w:rPr>
              <w:t xml:space="preserve">ьной помощи, выплачиваемой за счет средств федерального бюджета, бюджетов субъектов Российской Федерации, местных бюджетов и иных источников в связи со стихийным бедствием или другими чрезвычайными обстоятельствами, а также в связи с террористическим актом</w:t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60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b/>
                <w:sz w:val="20"/>
              </w:rPr>
              <w:t xml:space="preserve">с</w:t>
            </w:r>
            <w:r>
              <w:rPr>
                <w:b/>
                <w:sz w:val="20"/>
              </w:rPr>
              <w:t xml:space="preserve">ведения</w:t>
            </w:r>
            <w:r>
              <w:rPr>
                <w:b/>
                <w:sz w:val="20"/>
              </w:rPr>
              <w:t xml:space="preserve"> о доходах, полученных в результате выигрышей, выплачиваемых организаторами лотерей, тотализаторов и других основанных на риске игр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61</w:t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r>
              <w:rPr>
                <w:b/>
                <w:sz w:val="20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pPr>
            <w:r>
              <w:rPr>
                <w:b/>
                <w:sz w:val="20"/>
              </w:rPr>
              <w:t xml:space="preserve">с</w:t>
            </w:r>
            <w:r>
              <w:rPr>
                <w:b/>
                <w:sz w:val="20"/>
              </w:rPr>
              <w:t xml:space="preserve">ведения</w:t>
            </w:r>
            <w:r>
              <w:rPr>
                <w:b/>
                <w:sz w:val="20"/>
              </w:rPr>
              <w:t xml:space="preserve"> о трудовой деятельности</w:t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  <w:r>
              <w:rPr>
                <w:rFonts w:eastAsiaTheme="minorHAnsi"/>
                <w:b/>
                <w:bCs/>
                <w:color w:val="auto"/>
                <w:sz w:val="20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62</w:t>
            </w:r>
          </w:p>
        </w:tc>
        <w:tc>
          <w:tcPr>
            <w:tcW w:w="1418" w:type="dxa"/>
            <w:noWrap w:val="false"/>
            <w:textDirection w:val="lrTb"/>
          </w:tcPr>
          <w:p>
            <w:pPr>
              <w:rPr>
                <w:b/>
              </w:rPr>
            </w:pPr>
            <w:r>
              <w:rPr>
                <w:b/>
                <w:sz w:val="20"/>
              </w:rPr>
              <w:t xml:space="preserve">1А-5</w:t>
            </w:r>
            <w:r>
              <w:rPr>
                <w:b/>
                <w:sz w:val="20"/>
              </w:rPr>
              <w:t xml:space="preserve">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документ</w:t>
            </w:r>
            <w:r>
              <w:rPr>
                <w:b/>
                <w:sz w:val="20"/>
              </w:rPr>
              <w:t xml:space="preserve"> (сведения), подтверждающий статус многодетной семьи</w:t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63</w:t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1А-5</w:t>
            </w:r>
            <w:r>
              <w:rPr>
                <w:b/>
                <w:sz w:val="20"/>
              </w:rPr>
              <w:t xml:space="preserve">А</w:t>
            </w:r>
          </w:p>
        </w:tc>
        <w:tc>
          <w:tcPr>
            <w:tcW w:w="5103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с</w:t>
            </w:r>
            <w:r>
              <w:rPr>
                <w:b/>
                <w:sz w:val="20"/>
              </w:rPr>
              <w:t xml:space="preserve">ведения</w:t>
            </w:r>
            <w:r>
              <w:rPr>
                <w:b/>
                <w:sz w:val="20"/>
              </w:rPr>
              <w:t xml:space="preserve"> об участии заявителя и (или) членов его семьи в специальной военной операции</w:t>
            </w:r>
          </w:p>
        </w:tc>
        <w:tc>
          <w:tcPr>
            <w:tcW w:w="2693" w:type="dxa"/>
            <w:noWrap w:val="false"/>
            <w:textDirection w:val="lrTb"/>
          </w:tcPr>
          <w:p/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64</w:t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color w:val="000000" w:themeColor="text1"/>
                <w:sz w:val="20"/>
              </w:rPr>
              <w:t xml:space="preserve">2А, 3А, 5А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b/>
                <w:sz w:val="20"/>
              </w:rPr>
              <w:t xml:space="preserve">с</w:t>
            </w:r>
            <w:r>
              <w:rPr>
                <w:b/>
                <w:sz w:val="20"/>
              </w:rPr>
              <w:t xml:space="preserve">ведения</w:t>
            </w:r>
            <w:r>
              <w:rPr>
                <w:b/>
                <w:sz w:val="20"/>
              </w:rPr>
              <w:t xml:space="preserve"> о результатах прохождения тестирования для определения уровня предпринимательских компетенций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65</w:t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2А, 5</w:t>
            </w:r>
            <w:r>
              <w:rPr>
                <w:b/>
                <w:sz w:val="20"/>
              </w:rPr>
              <w:t xml:space="preserve">А</w:t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b/>
                <w:sz w:val="20"/>
              </w:rPr>
              <w:t xml:space="preserve">с</w:t>
            </w:r>
            <w:r>
              <w:rPr>
                <w:b/>
                <w:sz w:val="20"/>
              </w:rPr>
              <w:t xml:space="preserve">ведения</w:t>
            </w:r>
            <w:r>
              <w:rPr>
                <w:b/>
                <w:sz w:val="20"/>
              </w:rPr>
              <w:t xml:space="preserve"> о наличии государственной регистрации в налоговом органе субъекта Российской Федерации в качестве индивидуального предпринимателя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  <w:r>
              <w:rPr>
                <w:rFonts w:eastAsiaTheme="minorHAnsi"/>
                <w:color w:val="auto"/>
                <w:szCs w:val="24"/>
                <w:lang w:eastAsia="en-US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ОГВ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Кк</w:t>
            </w:r>
            <w:r>
              <w:rPr>
                <w:b/>
                <w:sz w:val="20"/>
              </w:rPr>
              <w:t xml:space="preserve"> (п) =&gt; МФЦ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r>
              <w:rPr>
                <w:b/>
                <w:sz w:val="20"/>
              </w:rPr>
              <w:t xml:space="preserve">ПП ЭП =&gt; ЕПГУ</w:t>
            </w:r>
          </w:p>
        </w:tc>
      </w:tr>
    </w:tbl>
    <w:p>
      <w:pPr>
        <w:pStyle w:val="1007"/>
        <w:numPr>
          <w:numId w:val="39"/>
          <w:ilvl w:val="0"/>
        </w:numPr>
        <w:jc w:val="center"/>
      </w:pPr>
      <w:r>
        <w:rPr>
          <w:b/>
          <w:sz w:val="28"/>
        </w:rPr>
        <w:t xml:space="preserve">Исчерпывающий перечень оснований</w:t>
      </w:r>
      <w:r>
        <w:rPr>
          <w:b/>
          <w:sz w:val="28"/>
        </w:rPr>
        <w:br/>
        <w:t xml:space="preserve">для отказа в приеме заявления и документов, необходимых</w:t>
      </w:r>
      <w:r>
        <w:rPr>
          <w:b/>
          <w:sz w:val="28"/>
        </w:rPr>
        <w:br/>
        <w:t xml:space="preserve">для предоставления Услуги, оснований для приостановления</w:t>
      </w:r>
      <w:r>
        <w:rPr>
          <w:b/>
          <w:sz w:val="28"/>
        </w:rPr>
        <w:br/>
        <w:t xml:space="preserve">предоставления Услуги или отказа в предоставлении Услуги</w:t>
      </w:r>
    </w:p>
    <w:p>
      <w:r>
        <w:rPr>
          <w:b/>
        </w:rPr>
        <w:t xml:space="preserve">Таблица </w:t>
      </w:r>
      <w:r>
        <w:rPr>
          <w:b/>
        </w:rPr>
        <w:t xml:space="preserve">№ </w:t>
      </w:r>
      <w:r>
        <w:rPr>
          <w:b/>
        </w:rPr>
        <w:t xml:space="preserve">3</w:t>
      </w:r>
    </w:p>
    <w:tbl>
      <w:tblPr>
        <w:tblW w:w="4865" w:type="pct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8130"/>
        <w:gridCol w:w="1517"/>
      </w:tblGrid>
      <w:tr>
        <w:trPr/>
        <w:tblPrEx/>
        <w:tc>
          <w:tcPr>
            <w:tcW w:w="5000" w:type="pct"/>
            <w:gridSpan w:val="2"/>
            <w:shd w:val="clear" w:color="auto" w:fill="d9e1f2"/>
            <w:noWrap w:val="false"/>
            <w:textDirection w:val="lrTb"/>
          </w:tcPr>
          <w:p>
            <w:pPr>
              <w:jc w:val="center"/>
            </w:pPr>
            <w:r>
              <w:rPr>
                <w:b/>
                <w:sz w:val="20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r>
              <w:rPr>
                <w:sz w:val="20"/>
              </w:rPr>
              <w:t xml:space="preserve">при</w:t>
            </w:r>
            <w:r>
              <w:rPr>
                <w:sz w:val="20"/>
              </w:rPr>
              <w:t xml:space="preserve"> обращении в МФЦ - </w:t>
            </w:r>
            <w:r>
              <w:rPr>
                <w:sz w:val="20"/>
              </w:rPr>
              <w:t xml:space="preserve">неустановление</w:t>
            </w:r>
            <w:r>
              <w:rPr>
                <w:sz w:val="20"/>
              </w:rPr>
              <w:t xml:space="preserve"> личности лица, обратившегося за оказанием услуги (</w:t>
            </w:r>
            <w:r>
              <w:rPr>
                <w:sz w:val="20"/>
              </w:rPr>
              <w:t xml:space="preserve">непредъявление</w:t>
            </w:r>
            <w:r>
              <w:rPr>
                <w:sz w:val="20"/>
              </w:rPr>
              <w:t xml:space="preserve">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</w:t>
            </w:r>
          </w:p>
        </w:tc>
        <w:tc>
          <w:tcPr>
            <w:tcW w:w="786" w:type="pct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</w:tr>
      <w:tr>
        <w:trPr/>
        <w:tblPrEx/>
        <w:tc>
          <w:tcPr>
            <w:tcW w:w="5000" w:type="pct"/>
            <w:gridSpan w:val="2"/>
            <w:shd w:val="clear" w:color="auto" w:fill="d9e1f2"/>
            <w:noWrap w:val="false"/>
            <w:textDirection w:val="lrTb"/>
          </w:tcPr>
          <w:p>
            <w:pPr>
              <w:jc w:val="center"/>
            </w:pPr>
            <w:r>
              <w:rPr>
                <w:b/>
                <w:sz w:val="20"/>
              </w:rPr>
              <w:t xml:space="preserve">Исчерпывающий перечень оснований для приостановления предоставления Услуги</w:t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r>
              <w:rPr>
                <w:sz w:val="20"/>
              </w:rPr>
              <w:t xml:space="preserve">установление</w:t>
            </w:r>
            <w:r>
              <w:rPr>
                <w:sz w:val="20"/>
              </w:rPr>
              <w:t xml:space="preserve"> факта наличия в заявлении и (или) документах (сведениях), представленных заявителем, недостоверной и (или) неполной информации</w:t>
            </w:r>
          </w:p>
        </w:tc>
        <w:tc>
          <w:tcPr>
            <w:tcW w:w="786" w:type="pct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</w:tc>
      </w:tr>
      <w:tr>
        <w:trPr/>
        <w:tblPrEx/>
        <w:tc>
          <w:tcPr>
            <w:tcW w:w="5000" w:type="pct"/>
            <w:gridSpan w:val="2"/>
            <w:shd w:val="clear" w:color="auto" w:fill="d9e1f2"/>
            <w:noWrap w:val="false"/>
            <w:textDirection w:val="lrTb"/>
          </w:tcPr>
          <w:p>
            <w:pPr>
              <w:jc w:val="center"/>
            </w:pPr>
            <w:r>
              <w:rPr>
                <w:b/>
                <w:sz w:val="20"/>
              </w:rPr>
              <w:t xml:space="preserve">Исчерпывающий перечень оснований для отказа в предоставлении Услуги</w:t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превышение</w:t>
            </w:r>
            <w:r>
              <w:rPr>
                <w:iCs/>
                <w:sz w:val="20"/>
              </w:rPr>
              <w:t xml:space="preserve"> размера среднедушевого дохода семьи или дохода одиноко проживающего гражданина над величиной прожиточного минимума на душу населения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1А-4А</w:t>
            </w:r>
          </w:p>
          <w:p>
            <w:pPr>
              <w:rPr>
                <w:color w:val="ff0000"/>
              </w:rPr>
            </w:pPr>
            <w:r>
              <w:rPr>
                <w:b/>
                <w:sz w:val="2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наличие</w:t>
            </w:r>
            <w:r>
              <w:rPr>
                <w:iCs/>
                <w:sz w:val="20"/>
              </w:rPr>
              <w:t xml:space="preserve"> в заявлении и (или) документах (сведениях), в том числе в доработанных заявлении и (или) документах (сведениях) в соответствии с пунктом 51 Порядка, недостоверной и (или) неполной информации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1А-5</w:t>
            </w:r>
            <w:r>
              <w:rPr>
                <w:b/>
                <w:color w:val="000000" w:themeColor="text1"/>
                <w:sz w:val="20"/>
              </w:rPr>
              <w:t xml:space="preserve">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непредставление</w:t>
            </w:r>
            <w:r>
              <w:rPr>
                <w:iCs/>
                <w:sz w:val="20"/>
              </w:rPr>
              <w:t xml:space="preserve"> заявителем в Орган власти документов (сведений), необходимых для предоставления Услуги в течение </w:t>
            </w:r>
            <w:r>
              <w:rPr>
                <w:iCs/>
                <w:sz w:val="20"/>
              </w:rPr>
              <w:t xml:space="preserve">10</w:t>
            </w:r>
            <w:r>
              <w:rPr>
                <w:iCs/>
                <w:sz w:val="20"/>
              </w:rPr>
              <w:t xml:space="preserve"> рабочих дней со дня регистрации заявления, </w:t>
            </w:r>
            <w:r>
              <w:rPr>
                <w:sz w:val="20"/>
              </w:rPr>
              <w:t xml:space="preserve">в случае если заявление подано с использованием Единого портала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1</w:t>
            </w:r>
            <w:r>
              <w:rPr>
                <w:b/>
                <w:color w:val="000000" w:themeColor="text1"/>
                <w:sz w:val="20"/>
              </w:rPr>
              <w:t xml:space="preserve">А-5</w:t>
            </w:r>
            <w:r>
              <w:rPr>
                <w:b/>
                <w:color w:val="000000" w:themeColor="text1"/>
                <w:sz w:val="20"/>
              </w:rPr>
              <w:t xml:space="preserve">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непредставление</w:t>
            </w:r>
            <w:r>
              <w:rPr>
                <w:iCs/>
                <w:sz w:val="20"/>
              </w:rPr>
              <w:t xml:space="preserve"> заявителем в Орган власти в течение </w:t>
            </w:r>
            <w:r>
              <w:rPr>
                <w:iCs/>
                <w:sz w:val="20"/>
              </w:rPr>
              <w:t xml:space="preserve">пяти</w:t>
            </w:r>
            <w:r>
              <w:rPr>
                <w:iCs/>
                <w:sz w:val="20"/>
              </w:rPr>
              <w:t xml:space="preserve"> рабочих дней необходимых заявления и (или) документов (сведений) после возвращения заявления и (или) документов на доработку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1</w:t>
            </w:r>
            <w:r>
              <w:rPr>
                <w:b/>
                <w:color w:val="000000" w:themeColor="text1"/>
                <w:sz w:val="20"/>
              </w:rPr>
              <w:t xml:space="preserve">А58</w:t>
            </w:r>
            <w:r>
              <w:rPr>
                <w:b/>
                <w:color w:val="000000" w:themeColor="text1"/>
                <w:sz w:val="20"/>
              </w:rPr>
              <w:t xml:space="preserve">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отсутствие</w:t>
            </w:r>
            <w:r>
              <w:rPr>
                <w:iCs/>
                <w:sz w:val="20"/>
              </w:rPr>
              <w:t xml:space="preserve"> в областном бюджете Новосибирской области в текущем финансовом году бюджетных ассигнований на заключение новых социальных контрактов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1А-5</w:t>
            </w:r>
            <w:r>
              <w:rPr>
                <w:b/>
                <w:color w:val="000000" w:themeColor="text1"/>
                <w:sz w:val="20"/>
              </w:rPr>
              <w:t xml:space="preserve">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достижение</w:t>
            </w:r>
            <w:r>
              <w:rPr>
                <w:iCs/>
                <w:sz w:val="20"/>
              </w:rPr>
              <w:t xml:space="preserve"> численности получателей социальной помощи по мероприятию по осуществлению иных мероприятий, направленных на преодоление гражданином тру</w:t>
            </w:r>
            <w:r>
              <w:rPr>
                <w:iCs/>
                <w:sz w:val="20"/>
              </w:rPr>
              <w:t xml:space="preserve">дной жизненной ситуации, установленной Органом власти для центра социальной поддержки населения в целях соблюдения распределения численности получателей Услуги в соответствии с пунктом 87 Порядка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4А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трудоустройство</w:t>
            </w:r>
            <w:r>
              <w:rPr>
                <w:iCs/>
                <w:sz w:val="20"/>
              </w:rPr>
              <w:t xml:space="preserve"> заявителя в период рассмотрения заявле</w:t>
            </w:r>
            <w:r>
              <w:rPr>
                <w:iCs/>
                <w:sz w:val="20"/>
              </w:rPr>
              <w:t xml:space="preserve">ния по</w:t>
            </w:r>
            <w:r>
              <w:rPr>
                <w:iCs/>
                <w:sz w:val="20"/>
              </w:rPr>
              <w:t xml:space="preserve"> поиску работы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1А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наличие</w:t>
            </w:r>
            <w:r>
              <w:rPr>
                <w:iCs/>
                <w:sz w:val="20"/>
              </w:rPr>
              <w:t xml:space="preserve"> у заявителя (члена его семьи) действующего социального контракта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1А-5</w:t>
            </w:r>
            <w:r>
              <w:rPr>
                <w:b/>
                <w:color w:val="000000" w:themeColor="text1"/>
                <w:sz w:val="20"/>
              </w:rPr>
              <w:t xml:space="preserve">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отзыв</w:t>
            </w:r>
            <w:r>
              <w:rPr>
                <w:iCs/>
                <w:sz w:val="20"/>
              </w:rPr>
              <w:t xml:space="preserve"> заявителем заявления до принятия решения о предоставлении Услуги в соответствии с пунктом 44 Порядка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1А-5</w:t>
            </w:r>
            <w:r>
              <w:rPr>
                <w:b/>
                <w:color w:val="000000" w:themeColor="text1"/>
                <w:sz w:val="20"/>
              </w:rPr>
              <w:t xml:space="preserve">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отказ</w:t>
            </w:r>
            <w:r>
              <w:rPr>
                <w:iCs/>
                <w:sz w:val="20"/>
              </w:rPr>
              <w:t xml:space="preserve"> заявителя от подписания социального контракта и программы социальной адаптации или его неявка на подписание социального контракта и программы социальной адаптации, а также </w:t>
            </w:r>
            <w:r>
              <w:rPr>
                <w:iCs/>
                <w:sz w:val="20"/>
              </w:rPr>
              <w:t xml:space="preserve">неподписание</w:t>
            </w:r>
            <w:r>
              <w:rPr>
                <w:iCs/>
                <w:sz w:val="20"/>
              </w:rPr>
              <w:t xml:space="preserve"> социального контракта и программы социальной адаптации в указанный центр социальной поддержки населения  срок в случае их направления на подписание через единый портал государственных и муниципальных услуг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1А-5</w:t>
            </w:r>
            <w:r>
              <w:rPr>
                <w:b/>
                <w:color w:val="000000" w:themeColor="text1"/>
                <w:sz w:val="20"/>
              </w:rPr>
              <w:t xml:space="preserve">А</w:t>
            </w:r>
            <w:r>
              <w:rPr>
                <w:color w:val="ff0000"/>
                <w:sz w:val="20"/>
              </w:rPr>
            </w:r>
            <w:r>
              <w:rPr>
                <w:color w:val="ff0000"/>
                <w:sz w:val="2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наличие</w:t>
            </w:r>
            <w:r>
              <w:rPr>
                <w:iCs/>
                <w:sz w:val="20"/>
              </w:rPr>
              <w:t xml:space="preserve"> у заявителя непогашенной задолженности перед центром социальной поддержки населения, в том числе взыскиваемой в судебном порядке, по денежным средствам, выплаченным в соответствии с условиями ранее заключенного социального контракта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1А-5</w:t>
            </w:r>
            <w:r>
              <w:rPr>
                <w:b/>
                <w:color w:val="000000" w:themeColor="text1"/>
                <w:sz w:val="20"/>
              </w:rPr>
              <w:t xml:space="preserve">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отсутствие</w:t>
            </w:r>
            <w:r>
              <w:rPr>
                <w:iCs/>
                <w:sz w:val="20"/>
              </w:rPr>
              <w:t xml:space="preserve"> у заявителя трудной жизненной ситуации или его несоответст</w:t>
            </w:r>
            <w:r>
              <w:rPr>
                <w:iCs/>
                <w:sz w:val="20"/>
              </w:rPr>
              <w:t xml:space="preserve">вие категории семей (одиноко проживающих граждан), которым оказывается Услуга по мероприятию по осуществлению иных мероприятий, направленных на преодоление гражданином трудной жизненной ситуации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4А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неполучение заявителем сертификата или иного документа, подтверждающего успешное прохождение обучения для развития предпринимательских компетенций, который предоставляется в случае, предусмотренном абза</w:t>
            </w:r>
            <w:r>
              <w:rPr>
                <w:iCs/>
                <w:sz w:val="20"/>
              </w:rPr>
              <w:t xml:space="preserve">цем вторым пункта 62 Порядка (при оказании государственной социальной помощи по мероприятиям по осуществлению индивидуальной предпринимательской деятельности, ведению личного подсобного хозяйства), или отказ заявителя от изменения основного мероприятия, пр</w:t>
            </w:r>
            <w:r>
              <w:rPr>
                <w:iCs/>
                <w:sz w:val="20"/>
              </w:rPr>
              <w:t xml:space="preserve">едусмотренного программой социальной адаптации, в случае неполучения заявителем сертификата или иного документа, подтверждающего успешное прохождение обучения для развития предпринимательских компетенций, в соответствии с абзацем четвертым пункта 54 Правил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2А, 3А, 5А</w:t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отказ</w:t>
            </w:r>
            <w:r>
              <w:rPr>
                <w:iCs/>
                <w:sz w:val="20"/>
              </w:rPr>
              <w:t xml:space="preserve"> за</w:t>
            </w:r>
            <w:r>
              <w:rPr>
                <w:iCs/>
                <w:sz w:val="20"/>
              </w:rPr>
              <w:t xml:space="preserve">явителя от прохождения тестирования для определения уровня предпринимательских компетенций при оказании государственной социальной помощи по мероприятиям по осуществлению индивидуальной предпринимательской деятельности, ведению личного подсобного хозяйства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2А, 3А, 5А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регистрация заявления Органом вл</w:t>
            </w:r>
            <w:r>
              <w:rPr>
                <w:iCs/>
                <w:sz w:val="20"/>
              </w:rPr>
              <w:t xml:space="preserve">асти субъекта Российской Федерации, отличного от субъекта Российской Федерации, в котором гражданин зарегистрирован (зарегистрируется) в качестве индивидуального предпринимателя или в котором гражданин зарегистрирован (зарегистрируется) и осуществляет (пла</w:t>
            </w:r>
            <w:r>
              <w:rPr>
                <w:iCs/>
                <w:sz w:val="20"/>
              </w:rPr>
              <w:t xml:space="preserve">нирует осуществлять) свою деятельность в качестве налогоплательщика налога на профессиональный доход в соответствии с пунктом 85 Порядка, по мероприятиям по осуществлению индивидуальной предпринимательской деятельности, ведению личного подсобного хозяйства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2А, 3А, 5А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согласованное</w:t>
            </w:r>
            <w:r>
              <w:rPr>
                <w:iCs/>
                <w:sz w:val="20"/>
              </w:rPr>
              <w:t xml:space="preserve"> мнение межведомственной комиссии о неодобрении социального контракта, программы социальной адаптации и прилагаемых к ней материалов, а также бизнес-плана (сметы расходов)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2А, 3А, 5А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получе</w:t>
            </w:r>
            <w:r>
              <w:rPr>
                <w:iCs/>
                <w:sz w:val="20"/>
              </w:rPr>
              <w:t xml:space="preserve">ние заявителем от центров занятости населения единовременной финансовой помощи на содействие началу осуществления предпринимательской деятельности безработными гражданами, оказываемой в соответствии с пунктом 4 части 2 статьи 32 Федерального закона от 12.1</w:t>
            </w:r>
            <w:r>
              <w:rPr>
                <w:iCs/>
                <w:sz w:val="20"/>
              </w:rPr>
              <w:t xml:space="preserve">2.2023 № 565-ФЗ «О занятости населения в Российской Федерации», в течение 12 месяцев, предшествующих месяцу подачи заявления по мероприятиям по осуществлению индивидуальной предпринимательской деятельности, ведению личного подсобного хозяйства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2А, 3А, 5А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подача заявления гражданином (его семьей) в период проведения мониторинга условий жизни семьи (одиноко проживающего гражданина) по завершении ранее заключенного социального контракта, проводимого в соответствии с пунктом 72 Порядка, за исклю</w:t>
            </w:r>
            <w:r>
              <w:rPr>
                <w:iCs/>
                <w:sz w:val="20"/>
              </w:rPr>
              <w:t xml:space="preserve">чением случая вынесения Органом власти решения о целесообразности заключения с гражданином нового социального контракта в период проведения мониторинга условий жизни семьи (одиноко проживающего гражданина) в соответствии с абзацем первым пункта 72 Порядка;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1А-5</w:t>
            </w:r>
            <w:r>
              <w:rPr>
                <w:b/>
                <w:color w:val="000000" w:themeColor="text1"/>
                <w:sz w:val="20"/>
              </w:rPr>
              <w:t xml:space="preserve">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подача</w:t>
            </w:r>
            <w:r>
              <w:rPr>
                <w:iCs/>
                <w:sz w:val="20"/>
              </w:rPr>
              <w:t xml:space="preserve"> заявления лицом, признанным судом недееспособным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1А-5</w:t>
            </w:r>
            <w:r>
              <w:rPr>
                <w:b/>
                <w:color w:val="000000" w:themeColor="text1"/>
                <w:sz w:val="20"/>
              </w:rPr>
              <w:t xml:space="preserve">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наличие</w:t>
            </w:r>
            <w:r>
              <w:rPr>
                <w:iCs/>
                <w:sz w:val="20"/>
              </w:rPr>
              <w:t xml:space="preserve"> у граждан, указанных в подпунктах 2, 3 пункта 22 Порядка, завершенного или действующего </w:t>
            </w:r>
            <w:r>
              <w:rPr>
                <w:iCs/>
                <w:sz w:val="20"/>
              </w:rPr>
              <w:t xml:space="preserve">социального контракта по осуществлению индивидуальной предпринимательской деятельности, в случае их повторного обращения за получением Услуги в соответствии с подпунктами 2 и 3 пункта 22 Порядка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2А, 5А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несоответствие направлени</w:t>
            </w:r>
            <w:r>
              <w:rPr>
                <w:iCs/>
                <w:sz w:val="20"/>
              </w:rPr>
              <w:t xml:space="preserve">я деятельности, указанного в бизнес-плане, утвержденным постановлением приоритетным направлениям деятельности в целях реализации мероприятия по осуществлению индивидуальной предпринимательской деятельности из числа направлений деятельности, содержащихся в </w:t>
            </w:r>
            <w:r>
              <w:rPr>
                <w:iCs/>
                <w:sz w:val="20"/>
              </w:rPr>
              <w:t xml:space="preserve">перечне направлений деятельности в целях реализации мероприятий по поиску работы, осуществлению индивидуальной предпринимательской деятельности, ведению личного подсобного хозяйства, утверждаемых Министерством труда и социальной защиты Российской Федерации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1А-3А, 5А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подача</w:t>
            </w:r>
            <w:r>
              <w:rPr>
                <w:iCs/>
                <w:sz w:val="20"/>
              </w:rPr>
              <w:t xml:space="preserve"> заявления гражданином, который ранее отказался от права на предоставление Услуги в случае, предусмотренном подпунктом 3 пункта 22 Порядка, в целях реализации мероприятия по осуществлению индивидуальной предпринимательской деятельности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2А, 5А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непредставление гражданином, указанным в подпунктах 2, 3 пункта 22 Порядка, рекомендации на заключение социального контракта, выдаваемой Государственным фондом поддержки участников </w:t>
            </w:r>
            <w:r>
              <w:rPr>
                <w:iCs/>
                <w:sz w:val="20"/>
              </w:rPr>
              <w:t xml:space="preserve">специальной военной операции «Защитники Отечества» (филиалом Государственного фонда поддержки участников специальной военной операции «Защитники Отечества») в соответствии с Правилами выдачи Государственным фондом поддержки участников специальной военной о</w:t>
            </w:r>
            <w:r>
              <w:rPr>
                <w:iCs/>
                <w:sz w:val="20"/>
              </w:rPr>
              <w:t xml:space="preserve">перации «Защитники Отечества» (филиалом Государственного фонда поддержки участников специальной военной операции «Защитники Отечества») рекомендации на заключение социального контракта, утвержденными постановлением Правительства Российской Федерации № 1931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2А, 5А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подача</w:t>
            </w:r>
            <w:r>
              <w:rPr>
                <w:iCs/>
                <w:sz w:val="20"/>
              </w:rPr>
              <w:t xml:space="preserve"> заявления новой супругой (супругом) гра</w:t>
            </w:r>
            <w:r>
              <w:rPr>
                <w:iCs/>
                <w:sz w:val="20"/>
              </w:rPr>
              <w:t xml:space="preserve">жданина, который ранее отказался от права на предоставление Услуги в соответствии с подпунктом 3 пункта 22 Порядка, в пользу своей предыдущей супруги (супруга), в целях реализации мероприятия по осуществлению индивидуальной предпринимательской деятельности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0000"/>
              </w:rPr>
            </w:pPr>
            <w:r>
              <w:rPr>
                <w:b/>
                <w:color w:val="000000" w:themeColor="text1"/>
                <w:sz w:val="20"/>
              </w:rPr>
              <w:t xml:space="preserve">2А, 5</w:t>
            </w:r>
            <w:r>
              <w:rPr>
                <w:b/>
                <w:color w:val="000000" w:themeColor="text1"/>
                <w:sz w:val="20"/>
              </w:rPr>
              <w:t xml:space="preserve">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Дополнительными основаниями для отказа в получении Услуги в случае, когда заявитель ранее являлся получателем такой помощи, являются:</w:t>
            </w:r>
            <w:r>
              <w:rPr>
                <w:b/>
                <w:sz w:val="22"/>
                <w:szCs w:val="22"/>
                <w:highlight w:val="green"/>
              </w:rPr>
            </w:r>
            <w:r>
              <w:rPr>
                <w:b/>
                <w:sz w:val="22"/>
                <w:szCs w:val="22"/>
                <w:highlight w:val="green"/>
              </w:rPr>
            </w:r>
          </w:p>
        </w:tc>
        <w:tc>
          <w:tcPr>
            <w:tcW w:w="786" w:type="pct"/>
            <w:noWrap w:val="false"/>
            <w:textDirection w:val="lrTb"/>
          </w:tcPr>
          <w:p/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наличие</w:t>
            </w:r>
            <w:r>
              <w:rPr>
                <w:iCs/>
                <w:sz w:val="20"/>
              </w:rPr>
              <w:t xml:space="preserve"> завершенного социального контракта (</w:t>
            </w:r>
            <w:r>
              <w:rPr>
                <w:sz w:val="20"/>
              </w:rPr>
              <w:t xml:space="preserve">является дополнительным основанием для отказа в течение 12 месяцев со дня окончания срока действия ранее заключенного социального контракта)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1А-5</w:t>
            </w:r>
            <w:r>
              <w:rPr>
                <w:b/>
                <w:sz w:val="20"/>
              </w:rPr>
              <w:t xml:space="preserve">А</w:t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непредставление</w:t>
            </w:r>
            <w:r>
              <w:rPr>
                <w:iCs/>
                <w:sz w:val="20"/>
              </w:rPr>
              <w:t xml:space="preserve"> заявителем в центр социальной поддержки населения документов (сведений), необходимых для контроля реализации ранее заключенного социального контракта (</w:t>
            </w:r>
            <w:r>
              <w:rPr>
                <w:sz w:val="20"/>
              </w:rPr>
              <w:t xml:space="preserve">является дополнительным основанием для отказа в течение 12 месяцев со дня окончания срока действия ранее заключенного социального контракта)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1А-5</w:t>
            </w:r>
            <w:r>
              <w:rPr>
                <w:b/>
                <w:sz w:val="20"/>
              </w:rPr>
              <w:t xml:space="preserve">А</w:t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прекращение</w:t>
            </w:r>
            <w:r>
              <w:rPr>
                <w:iCs/>
                <w:sz w:val="20"/>
              </w:rPr>
              <w:t xml:space="preserve"> трудовой</w:t>
            </w:r>
            <w:r>
              <w:rPr>
                <w:iCs/>
                <w:sz w:val="20"/>
              </w:rPr>
              <w:t xml:space="preserve"> деятельности на срок более чем один месяц в период действия ранее заключенного социального контракта по мероприятию по поиску работы (за исключением случаев сокращения, увольнения в связи с переездом на новое место жительства и иных уважительных причин) (</w:t>
            </w:r>
            <w:r>
              <w:rPr>
                <w:sz w:val="20"/>
              </w:rPr>
              <w:t xml:space="preserve">является дополнительным основанием для отказа в течение 12 месяцев со дня окончания срока действия ранее заключенного социального контракта)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</w:t>
            </w:r>
            <w:r>
              <w:rPr>
                <w:b/>
                <w:sz w:val="2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прекращение трудовой дея</w:t>
            </w:r>
            <w:r>
              <w:rPr>
                <w:iCs/>
                <w:sz w:val="20"/>
              </w:rPr>
              <w:t xml:space="preserve">тельности в течение 12 месяцев со дня окончания срока действия ранее заключенного социального контракта по мероприятию по поиску работы (за исключением случаев сокращения, увольнения в связи с переездом на новое место жительства и иных уважительных причин)</w:t>
            </w:r>
            <w:r>
              <w:rPr>
                <w:sz w:val="20"/>
              </w:rPr>
              <w:t xml:space="preserve"> (является дополнительным основанием для отказа в течение 12 месяцев начиная со дня окончания мониторинга условий жизни семьи (одиноко проживающего гражданина), осуществляемого по завершении ранее заключенного социального контракта)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r>
              <w:rPr>
                <w:b/>
                <w:sz w:val="20"/>
              </w:rPr>
              <w:t xml:space="preserve">1А</w:t>
            </w:r>
            <w:r>
              <w:rPr>
                <w:b/>
                <w:sz w:val="2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прекращение государственной регистрации в качестве индивидуального предпринимателя или снятие заявителя, не являющегося индивидуальным предпринимателем, с учета в на</w:t>
            </w:r>
            <w:r>
              <w:rPr>
                <w:iCs/>
                <w:sz w:val="20"/>
              </w:rPr>
              <w:t xml:space="preserve">логовом органе в качестве налогоплательщика налога на профессиональный доход в период действия ранее заключенного социального контракта по мероприятиям по осуществлению индивидуальной предпринимательской деятельности, ведению личного подсобного хозяйства (</w:t>
            </w:r>
            <w:r>
              <w:rPr>
                <w:sz w:val="20"/>
              </w:rPr>
              <w:t xml:space="preserve">является дополнительным основанием для отказа в течение 12 месяцев со дня окончания срока действия ранее заключенного социального контракта)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c000"/>
              </w:rPr>
            </w:pPr>
            <w:r>
              <w:rPr>
                <w:b/>
                <w:color w:val="000000" w:themeColor="text1"/>
                <w:sz w:val="20"/>
              </w:rPr>
              <w:t xml:space="preserve">2</w:t>
            </w:r>
            <w:r>
              <w:rPr>
                <w:b/>
                <w:color w:val="000000" w:themeColor="text1"/>
                <w:sz w:val="20"/>
              </w:rPr>
              <w:t xml:space="preserve">А</w:t>
            </w:r>
            <w:r>
              <w:rPr>
                <w:b/>
                <w:color w:val="000000" w:themeColor="text1"/>
                <w:sz w:val="20"/>
              </w:rPr>
              <w:t xml:space="preserve">, 3А</w:t>
            </w:r>
            <w:r>
              <w:rPr>
                <w:color w:val="ffc000"/>
              </w:rPr>
            </w:r>
            <w:r>
              <w:rPr>
                <w:color w:val="ffc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прекращение государственной регистрации в качестве индивидуального предпринимателя или снятие заявителя, не являющегося индивидуальным предпринимателем, с учета в налоговом органе в качестве налогопл</w:t>
            </w:r>
            <w:r>
              <w:rPr>
                <w:iCs/>
                <w:sz w:val="20"/>
              </w:rPr>
              <w:t xml:space="preserve">ательщика налога на профессиональный доход в течение 12 месяцев со дня окончания срока действия ранее заключенного социального контракта по мероприятиям по осуществлению индивидуальной предпринимательской деятельности, ведению личного подсобного хозяйства </w:t>
            </w:r>
            <w:r>
              <w:rPr>
                <w:sz w:val="20"/>
              </w:rPr>
              <w:t xml:space="preserve">(является дополнительным основанием для отказа в течение 12 месяцев начиная со дня окончания мониторинга условий жизни семьи (одиноко проживающего гражданина), осуществляемого по завершении ранее заключенного социального контракта)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c000"/>
              </w:rPr>
            </w:pPr>
            <w:r>
              <w:rPr>
                <w:b/>
                <w:color w:val="000000" w:themeColor="text1"/>
                <w:sz w:val="20"/>
              </w:rPr>
              <w:t xml:space="preserve">2А, 3А</w:t>
            </w:r>
            <w:r>
              <w:rPr>
                <w:color w:val="ffc000"/>
              </w:rPr>
            </w:r>
            <w:r>
              <w:rPr>
                <w:color w:val="ffc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нецелевое использование получателем социальной помощи денежных средств, выплаченных в соответствии с условиями ранее</w:t>
            </w:r>
            <w:r>
              <w:rPr>
                <w:iCs/>
                <w:sz w:val="20"/>
              </w:rPr>
              <w:t xml:space="preserve"> заключенного социального контракта по мероприятиям по осуществлению индивидуальной предпринимательской деятельности, ведению личного подсобного хозяйства, осуществлению иных мероприятий, направленных на преодоление гражданином трудной жизненной ситуации (</w:t>
            </w:r>
            <w:r>
              <w:rPr>
                <w:sz w:val="20"/>
              </w:rPr>
              <w:t xml:space="preserve">является дополнительным основанием для отказа в течение 12 месяцев со дня окончания срока действия ранее заключенного социального контракта)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c000"/>
              </w:rPr>
            </w:pPr>
            <w:r>
              <w:rPr>
                <w:b/>
                <w:color w:val="000000" w:themeColor="text1"/>
                <w:sz w:val="20"/>
              </w:rPr>
              <w:t xml:space="preserve">2А, 3А</w:t>
            </w:r>
            <w:r>
              <w:rPr>
                <w:color w:val="ffc000"/>
              </w:rPr>
            </w:r>
            <w:r>
              <w:rPr>
                <w:color w:val="ffc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неисполнение (несвоевременное исполнение) получателем социальной помощи мероприятий программы социальной адаптации по причинам, не входящим в перечень</w:t>
            </w:r>
            <w:r>
              <w:rPr>
                <w:iCs/>
                <w:sz w:val="20"/>
              </w:rPr>
              <w:t xml:space="preserve"> причин, являющихся уважительными в случае неисполнения получателем Услуги мероприятий программы социальной адаптации, утверждаемых Министерством труда и социальной защиты Российской Федерации (</w:t>
            </w:r>
            <w:r>
              <w:rPr>
                <w:sz w:val="20"/>
              </w:rPr>
              <w:t xml:space="preserve">является дополнительным основанием для отказа в течение 12 месяцев со дня окончания срока действия ранее заключенного социального контракта)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color w:val="ffc000"/>
              </w:rPr>
            </w:pPr>
            <w:r>
              <w:rPr>
                <w:b/>
                <w:color w:val="000000" w:themeColor="text1"/>
                <w:sz w:val="20"/>
              </w:rPr>
              <w:t xml:space="preserve">1А-4А</w:t>
            </w:r>
            <w:r>
              <w:rPr>
                <w:color w:val="ffc000"/>
              </w:rPr>
            </w:r>
            <w:r>
              <w:rPr>
                <w:color w:val="ffc000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pStyle w:val="1060"/>
              <w:tabs>
                <w:tab w:val="left" w:pos="284" w:leader="none"/>
                <w:tab w:val="left" w:pos="1134" w:leader="none"/>
              </w:tabs>
              <w:ind w:left="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полное</w:t>
            </w:r>
            <w:r>
              <w:rPr>
                <w:iCs/>
                <w:sz w:val="20"/>
              </w:rPr>
              <w:t xml:space="preserve"> отсутствие налоговых отчислений в течение 12 месяцев со дня окончания срока действия ранее заключенного социального контракта по мероприятиям по осуществлению индивидуальной предпринимательской деятельности, ведению личного подсобного хозяйства </w:t>
            </w:r>
            <w:r>
              <w:rPr>
                <w:sz w:val="20"/>
              </w:rPr>
              <w:t xml:space="preserve">(является дополнительным основанием для отказа в течение 12 месяцев начиная со дня окончания мониторинга условий жизни семьи (одиноко проживающего гражданина), осуществляемого по завершении ранее заключенного социального контракта)</w:t>
            </w:r>
            <w:r>
              <w:rPr>
                <w:iCs/>
                <w:sz w:val="20"/>
              </w:rPr>
            </w:r>
            <w:r>
              <w:rPr>
                <w:iCs/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highlight w:val="yellow"/>
              </w:rPr>
            </w:pPr>
            <w:r>
              <w:rPr>
                <w:b/>
                <w:color w:val="000000" w:themeColor="text1"/>
                <w:sz w:val="20"/>
              </w:rPr>
              <w:t xml:space="preserve">2А, 3А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rPr/>
        <w:tblPrEx/>
        <w:tc>
          <w:tcPr>
            <w:tcW w:w="4214" w:type="pct"/>
            <w:noWrap w:val="false"/>
            <w:textDirection w:val="lrTb"/>
          </w:tcPr>
          <w:p>
            <w:pPr>
              <w:rPr>
                <w:sz w:val="20"/>
              </w:rPr>
            </w:pPr>
            <w:r>
              <w:rPr>
                <w:iCs/>
                <w:sz w:val="20"/>
              </w:rPr>
              <w:t xml:space="preserve">непредставление заявителем в центр социальной поддержки населения документов (сведений), необходимых для осуществления мониторинга условий жизни семьи (одиноко проживающего гражданина) со дня окончания срока действия ранее заключенного </w:t>
            </w:r>
            <w:r>
              <w:rPr>
                <w:iCs/>
                <w:sz w:val="20"/>
              </w:rPr>
              <w:t xml:space="preserve">социального контракта в соответствии с абзацем первым пункта 72 Порядка, если они не могут быть получены в порядке межведомственного информационного взаимодействия в органах и (или) организациях, в распоряжении которых они находятся </w:t>
            </w:r>
            <w:r>
              <w:rPr>
                <w:sz w:val="20"/>
              </w:rPr>
              <w:t xml:space="preserve">(является дополнительным основанием для отказа в течение 12 месяцев начиная со дня окончания мониторинга условий жизни семьи (одиноко проживающего гражданина), осуществляемого по завершении ранее заключенного социального контракта)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86" w:type="pct"/>
            <w:noWrap w:val="false"/>
            <w:textDirection w:val="lrTb"/>
          </w:tcPr>
          <w:p>
            <w:pPr>
              <w:rPr>
                <w:highlight w:val="yellow"/>
              </w:rPr>
            </w:pPr>
            <w:r>
              <w:rPr>
                <w:b/>
                <w:sz w:val="20"/>
              </w:rPr>
              <w:t xml:space="preserve">1А-4А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</w:tbl>
    <w:p/>
    <w:p>
      <w:pPr>
        <w:pStyle w:val="1007"/>
        <w:numPr>
          <w:numId w:val="43"/>
          <w:ilvl w:val="0"/>
        </w:numPr>
        <w:ind w:firstLine="426"/>
        <w:jc w:val="center"/>
        <w:rPr>
          <w:color w:val="000000" w:themeColor="text1"/>
        </w:rPr>
      </w:pPr>
      <w:r>
        <w:rPr>
          <w:b/>
          <w:color w:val="000000" w:themeColor="text1"/>
          <w:sz w:val="28"/>
        </w:rPr>
        <w:t xml:space="preserve">Нормативные правовые</w:t>
      </w:r>
      <w:r>
        <w:rPr>
          <w:b/>
          <w:color w:val="000000" w:themeColor="text1"/>
          <w:sz w:val="28"/>
        </w:rPr>
        <w:t xml:space="preserve"> акт</w:t>
      </w:r>
      <w:r>
        <w:rPr>
          <w:b/>
          <w:color w:val="000000" w:themeColor="text1"/>
          <w:sz w:val="28"/>
        </w:rPr>
        <w:t xml:space="preserve">ы, утверждающие</w:t>
      </w:r>
      <w:r>
        <w:rPr>
          <w:b/>
          <w:color w:val="000000" w:themeColor="text1"/>
          <w:sz w:val="28"/>
        </w:rPr>
        <w:t xml:space="preserve"> форм</w:t>
      </w:r>
      <w:r>
        <w:rPr>
          <w:b/>
          <w:color w:val="000000" w:themeColor="text1"/>
          <w:sz w:val="28"/>
        </w:rPr>
        <w:t xml:space="preserve">ы</w:t>
      </w:r>
      <w:r>
        <w:rPr>
          <w:b/>
          <w:color w:val="000000" w:themeColor="text1"/>
          <w:sz w:val="28"/>
        </w:rPr>
        <w:t xml:space="preserve"> документов, необходимых для предоставления Услуги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4"/>
        <w:numPr>
          <w:numId w:val="42"/>
          <w:ilvl w:val="3"/>
        </w:numPr>
        <w:ind w:left="0" w:firstLine="99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Форма заявления </w:t>
      </w:r>
      <w:r>
        <w:rPr>
          <w:color w:val="000000" w:themeColor="text1"/>
          <w:sz w:val="28"/>
          <w:szCs w:val="28"/>
        </w:rPr>
        <w:t xml:space="preserve">о назначении государственной социальной помощи на основании социального контракта</w:t>
      </w:r>
      <w:r>
        <w:rPr>
          <w:color w:val="000000" w:themeColor="text1"/>
          <w:sz w:val="28"/>
          <w:szCs w:val="28"/>
        </w:rPr>
        <w:t xml:space="preserve">, форма заявления </w:t>
      </w:r>
      <w:r>
        <w:rPr>
          <w:color w:val="auto"/>
          <w:sz w:val="28"/>
          <w:szCs w:val="19"/>
        </w:rPr>
        <w:t xml:space="preserve">об изменении способа доставки государственной социальной помощи на основании социального контракта</w:t>
      </w:r>
      <w:r>
        <w:rPr>
          <w:color w:val="auto"/>
          <w:sz w:val="28"/>
          <w:szCs w:val="19"/>
        </w:rPr>
        <w:t xml:space="preserve">, форма заявления </w:t>
      </w:r>
      <w:r>
        <w:rPr>
          <w:color w:val="auto"/>
          <w:sz w:val="28"/>
          <w:szCs w:val="19"/>
        </w:rPr>
        <w:t xml:space="preserve">о прекращении оказания государственной социальной помощи на основании социального контракта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утверждены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</w:t>
      </w:r>
      <w:r>
        <w:rPr>
          <w:sz w:val="28"/>
          <w:szCs w:val="28"/>
        </w:rPr>
        <w:t xml:space="preserve"> Правительства </w:t>
      </w:r>
      <w:r>
        <w:rPr>
          <w:color w:val="000000" w:themeColor="text1"/>
          <w:sz w:val="28"/>
          <w:szCs w:val="28"/>
        </w:rPr>
        <w:t xml:space="preserve">Российской Федерации</w:t>
      </w:r>
      <w:r>
        <w:rPr>
          <w:color w:val="000000" w:themeColor="text1"/>
          <w:sz w:val="28"/>
          <w:szCs w:val="28"/>
        </w:rPr>
        <w:t xml:space="preserve"> от 16.11.2023 № 1931.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71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 Форма согласия на обработку персональных данных утверждена приказом </w:t>
      </w:r>
      <w:r>
        <w:rPr>
          <w:color w:val="000000" w:themeColor="text1"/>
          <w:sz w:val="28"/>
          <w:szCs w:val="28"/>
        </w:rPr>
        <w:t xml:space="preserve">министерства труда </w:t>
      </w:r>
      <w:r>
        <w:rPr>
          <w:color w:val="000000" w:themeColor="text1"/>
          <w:sz w:val="28"/>
          <w:szCs w:val="28"/>
        </w:rPr>
        <w:t xml:space="preserve">и социального развития Новосибирской области от 13.06.2023 № 839 «Об утверждении положения по формированию личных дел и форм документов, используемых при предоставлении государственных услуг министерства труда и социального развития Новосибирской области».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/>
    <w:sectPr>
      <w:headerReference w:type="default" r:id="rId9"/>
      <w:footnotePr/>
      <w:endnotePr/>
      <w:type w:val="nextPage"/>
      <w:pgSz w:w="11900" w:h="16840" w:orient="portrait"/>
      <w:pgMar w:top="567" w:right="567" w:bottom="680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Calibri">
    <w:panose1 w:val="020F0502020204030204"/>
  </w:font>
  <w:font w:name="Consolas">
    <w:panose1 w:val="020B0606020202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2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540"/>
        <w:jc w:val="both"/>
        <w:rPr>
          <w:sz w:val="20"/>
          <w:szCs w:val="16"/>
        </w:rPr>
      </w:pPr>
      <w:r>
        <w:rPr>
          <w:rStyle w:val="1075"/>
          <w:sz w:val="20"/>
          <w:szCs w:val="16"/>
        </w:rPr>
        <w:footnoteRef/>
      </w:r>
      <w:r>
        <w:rPr>
          <w:sz w:val="20"/>
          <w:szCs w:val="16"/>
        </w:rPr>
        <w:t xml:space="preserve"> участник специальной военной операции – ветеран </w:t>
      </w:r>
      <w:r>
        <w:rPr>
          <w:rFonts w:ascii="Times New Roman" w:hAnsi="Times New Roman" w:eastAsia="Times New Roman" w:cs="Times New Roman"/>
          <w:color w:val="000000"/>
          <w:sz w:val="20"/>
          <w:szCs w:val="16"/>
        </w:rPr>
        <w:t xml:space="preserve">ветеранов боевых действий, указанных в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16"/>
          <w:u w:val="none"/>
        </w:rPr>
        <w:t xml:space="preserve">подпункте 1 пункта 1 статьи 3</w:t>
      </w:r>
      <w:r>
        <w:rPr>
          <w:rFonts w:ascii="Times New Roman" w:hAnsi="Times New Roman" w:eastAsia="Times New Roman" w:cs="Times New Roman"/>
          <w:color w:val="000000"/>
          <w:sz w:val="20"/>
          <w:szCs w:val="16"/>
        </w:rPr>
        <w:t xml:space="preserve"> Федерального закона от 12.01.1995 № 5-ФЗ «О ветеранах» (далее - Федеральный закон № 5-ФЗ) и принимавших участие в специальной военной операции, и ветеранов боевых действий, указанных в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16"/>
          <w:u w:val="none"/>
        </w:rPr>
        <w:t xml:space="preserve">подпунктах 1.1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16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16"/>
          <w:u w:val="none"/>
        </w:rPr>
        <w:t xml:space="preserve">2.2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16"/>
        </w:rPr>
        <w:t xml:space="preserve"> -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16"/>
          <w:u w:val="none"/>
        </w:rPr>
        <w:t xml:space="preserve">2.6 пункта 1 статьи 3</w:t>
      </w:r>
      <w:r>
        <w:rPr>
          <w:rFonts w:ascii="Times New Roman" w:hAnsi="Times New Roman" w:eastAsia="Times New Roman" w:cs="Times New Roman"/>
          <w:color w:val="000000"/>
          <w:sz w:val="20"/>
          <w:szCs w:val="16"/>
        </w:rPr>
        <w:t xml:space="preserve"> Федерального закона № 5-ФЗ, при условии, что они уволены с военной службы (службы, работы) или завершили исполнение контракта (иных правоотношений) и признаны в установленном порядке безработными или ищущим</w:t>
      </w:r>
      <w:r>
        <w:rPr>
          <w:rFonts w:ascii="Times New Roman" w:hAnsi="Times New Roman" w:eastAsia="Times New Roman" w:cs="Times New Roman"/>
          <w:color w:val="000000"/>
          <w:sz w:val="20"/>
          <w:szCs w:val="16"/>
        </w:rPr>
        <w:t xml:space="preserve">и работу;</w:t>
      </w:r>
      <w:r>
        <w:rPr>
          <w:sz w:val="20"/>
          <w:szCs w:val="16"/>
        </w:rPr>
      </w:r>
      <w:r>
        <w:rPr>
          <w:rFonts w:ascii="Times New Roman" w:hAnsi="Times New Roman" w:eastAsia="Times New Roman" w:cs="Times New Roman"/>
          <w:sz w:val="20"/>
          <w:szCs w:val="16"/>
        </w:rPr>
      </w:r>
    </w:p>
  </w:footnote>
  <w:footnote w:id="3">
    <w:p>
      <w:pPr>
        <w:pStyle w:val="1073"/>
        <w:jc w:val="both"/>
        <w:rPr>
          <w:szCs w:val="28"/>
        </w:rPr>
      </w:pPr>
      <w:r>
        <w:rPr>
          <w:rStyle w:val="1075"/>
        </w:rPr>
        <w:footnoteRef/>
      </w:r>
      <w:r>
        <w:t xml:space="preserve"> </w:t>
      </w:r>
      <w:r>
        <w:rPr>
          <w:szCs w:val="28"/>
        </w:rPr>
        <w:t xml:space="preserve">По выбору участников специальной военной операции, признанных инвалидами I или II группы и уволенных с военной службы (службы, работы) или завершивших исполнение контракта (иных правоотношений), у их супругов, признанных в установле</w:t>
      </w:r>
      <w:r>
        <w:rPr>
          <w:szCs w:val="28"/>
        </w:rPr>
        <w:t xml:space="preserve">нном порядке безработными или ищущими работу, при условии отказа участника специальной военной операции от своего права на Услугу (за исключением случаев, когда участники специальной военной опе</w:t>
      </w:r>
      <w:r>
        <w:rPr>
          <w:szCs w:val="28"/>
        </w:rPr>
        <w:t xml:space="preserve">рации признаны недееспособными)</w:t>
      </w:r>
      <w:r>
        <w:rPr>
          <w:szCs w:val="28"/>
        </w:rPr>
        <w:t xml:space="preserve">;</w:t>
      </w: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</w:footnote>
  <w:footnote w:id="4">
    <w:p>
      <w:pPr>
        <w:pStyle w:val="1067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</w:t>
      </w:r>
      <w:r>
        <w:t xml:space="preserve">ции от 24 октября 2011 г. № 861;</w:t>
      </w:r>
    </w:p>
  </w:footnote>
  <w:footnote w:id="5">
    <w:p>
      <w:pPr>
        <w:pStyle w:val="1073"/>
        <w:jc w:val="both"/>
      </w:pPr>
      <w:r>
        <w:rPr>
          <w:rStyle w:val="1075"/>
        </w:rPr>
        <w:footnoteRef/>
      </w:r>
      <w:r>
        <w:t xml:space="preserve"> В максимальных срок предоставлении Услуги включена процедура продления вынесения решения о предоставлении Услуги или об отказе в предоставлении Услуги на 20 рабочих дней в следующих случаях:</w:t>
      </w:r>
    </w:p>
    <w:p>
      <w:pPr>
        <w:pStyle w:val="1073"/>
        <w:jc w:val="both"/>
      </w:pPr>
      <w:r>
        <w:t xml:space="preserve">1) необходимость проведения дополнительной проверки (комиссионного обследования) Органом власти представленных заявителем документов (сведений);</w:t>
      </w:r>
    </w:p>
    <w:p>
      <w:pPr>
        <w:pStyle w:val="1073"/>
        <w:jc w:val="both"/>
        <w:rPr>
          <w14:ligatures w14:val="none"/>
        </w:rPr>
      </w:pPr>
      <w:r>
        <w:t xml:space="preserve">2) </w:t>
      </w:r>
      <w:r>
        <w:t xml:space="preserve">непоступление</w:t>
      </w:r>
      <w:r>
        <w:t xml:space="preserve"> документов (сведений), запрашиваемых в рамках межведомственного информационного взаимодействия, в срок, указанный в пункте 37 Порядка </w:t>
      </w:r>
      <w:r>
        <w:t xml:space="preserve">и условий оказания государственной социальной помощи на основании социального контракта, утвержденного постановлением Правительства Новосибирской области от 22.07.2019 № 281-п «Об установлении размера, порядка и условий предоставления социальной пом</w:t>
      </w:r>
      <w:r>
        <w:t xml:space="preserve">ощи на территории Новосибирской области» (далее - Порядок)</w:t>
      </w:r>
      <w:r>
        <w:t xml:space="preserve">;</w:t>
      </w:r>
    </w:p>
    <w:p>
      <w:pPr>
        <w:pStyle w:val="1073"/>
        <w:jc w:val="both"/>
      </w:pPr>
      <w:r>
        <w:t xml:space="preserve">3) необходимость прохождения тестирования для определения уровня предпринимательских компетенций в соответствии с пунктом 62 Порядка;</w:t>
      </w:r>
    </w:p>
    <w:p>
      <w:pPr>
        <w:pStyle w:val="1073"/>
        <w:jc w:val="both"/>
      </w:pPr>
      <w:r>
        <w:t xml:space="preserve">4) необходимость прохождения обучения для развития предпринимательских компетенций в соответствии с абзацем вторым пункта 62 Порядка;</w:t>
      </w:r>
    </w:p>
    <w:p>
      <w:pPr>
        <w:pStyle w:val="1073"/>
        <w:jc w:val="both"/>
      </w:pPr>
      <w:r>
        <w:t xml:space="preserve">5) необходимость подготовки или доработки бизнес-плана при подаче заявления по мероприятию по осуществлению индивидуальной предпринимательской деятельности.</w:t>
      </w:r>
    </w:p>
    <w:p>
      <w:pPr>
        <w:pStyle w:val="1073"/>
        <w:jc w:val="both"/>
      </w:pPr>
      <w:r>
        <w:t xml:space="preserve">В случае продления срока принятия решения </w:t>
      </w:r>
      <w:r>
        <w:t xml:space="preserve">о предоставлении Услуги или об отказе в предоставлении Услуги</w:t>
      </w:r>
      <w:r>
        <w:t xml:space="preserve"> </w:t>
      </w:r>
      <w:r>
        <w:t xml:space="preserve">Органом власти не позднее одного рабочего дня со дня такого продления направляется заявителю соответствующее уведомление в письменной форме, в том числе с использованием Единого портала.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center" w:y="1"/>
      <w:rPr>
        <w:sz w:val="20"/>
        <w:lang w:val="en-US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sz w:val="20"/>
      </w:rPr>
      <w:t xml:space="preserve">10</w:t>
    </w:r>
    <w:r>
      <w:rPr>
        <w:sz w:val="20"/>
      </w:rPr>
      <w:fldChar w:fldCharType="end"/>
    </w:r>
    <w:r>
      <w:rPr>
        <w:sz w:val="20"/>
        <w:lang w:val="en-US"/>
      </w:rPr>
    </w:r>
    <w:r>
      <w:rPr>
        <w:sz w:val="20"/>
        <w:lang w:val="en-US"/>
      </w:rPr>
    </w:r>
  </w:p>
  <w:p>
    <w:pPr>
      <w:pStyle w:val="1045"/>
    </w:pPr>
  </w:p>
  <w:p>
    <w:pPr>
      <w:pStyle w:val="104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7">
    <w:multiLevelType w:val="hybridMultilevel"/>
    <w:lvl w:ilvl="0">
      <w:start w:val="55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192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36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52"/>
      <w:numFmt w:val="decimal"/>
      <w:isLgl w:val="false"/>
      <w:suff w:val="tab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1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5" w:hanging="180"/>
      </w:pPr>
    </w:lvl>
  </w:abstractNum>
  <w:abstractNum w:abstractNumId="1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7">
    <w:multiLevelType w:val="hybridMultilevel"/>
    <w:lvl w:ilvl="0">
      <w:start w:val="20"/>
      <w:numFmt w:val="decimal"/>
      <w:isLgl w:val="false"/>
      <w:suff w:val="tab"/>
      <w:lvlText w:val="%1."/>
      <w:lvlJc w:val="left"/>
      <w:pPr>
        <w:ind w:left="2219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5"/>
      <w:numFmt w:val="upperRoman"/>
      <w:isLgl w:val="false"/>
      <w:suff w:val="tab"/>
      <w:lvlText w:val="%1."/>
      <w:lvlJc w:val="center"/>
      <w:pPr>
        <w:ind w:left="0" w:firstLine="0"/>
      </w:pPr>
      <w:rPr>
        <w:rFonts w:hint="default"/>
        <w:b w:val="0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8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8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44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107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65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3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10" w:hanging="180"/>
      </w:pPr>
    </w:lvl>
  </w:abstractNum>
  <w:abstractNum w:abstractNumId="36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5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204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1134" w:leader="none"/>
        </w:tabs>
        <w:ind w:left="0" w:firstLine="0"/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tabs>
          <w:tab w:val="num" w:pos="1304" w:leader="none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tabs>
          <w:tab w:val="num" w:pos="1531" w:leader="none"/>
        </w:tabs>
        <w:ind w:left="1224" w:hanging="504"/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6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4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9"/>
      <w:numFmt w:val="decimal"/>
      <w:isLgl w:val="false"/>
      <w:suff w:val="tab"/>
      <w:lvlText w:val="%7."/>
      <w:lvlJc w:val="left"/>
      <w:pPr>
        <w:ind w:left="2204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right"/>
      <w:pPr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  <w:sz w:val="28"/>
        <w:szCs w:val="28"/>
      </w:rPr>
    </w:lvl>
    <w:lvl w:ilvl="4">
      <w:start w:val="1"/>
      <w:numFmt w:val="lowerLetter"/>
      <w:isLgl w:val="false"/>
      <w:suff w:val="tab"/>
      <w:lvlText w:val="%5."/>
      <w:lvlJc w:val="right"/>
      <w:pPr>
        <w:ind w:left="3600" w:hanging="36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rFonts w:ascii="Times New Roman" w:hAnsi="Times New Roman" w:eastAsia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isLgl w:val="false"/>
      <w:suff w:val="tab"/>
      <w:lvlText w:val="%8."/>
      <w:lvlJc w:val="right"/>
      <w:pPr>
        <w:ind w:left="5760" w:hanging="3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rFonts w:ascii="Times New Roman" w:hAnsi="Times New Roman" w:eastAsia="Times New Roman" w:cs="Times New Roman"/>
      </w:r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7"/>
      <w:numFmt w:val="decimal"/>
      <w:isLgl w:val="false"/>
      <w:suff w:val="tab"/>
      <w:lvlText w:val="%7."/>
      <w:lvlJc w:val="left"/>
      <w:pPr>
        <w:ind w:left="2204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9"/>
      <w:numFmt w:val="decimal"/>
      <w:isLgl w:val="false"/>
      <w:suff w:val="tab"/>
      <w:lvlText w:val="%7."/>
      <w:lvlJc w:val="left"/>
      <w:pPr>
        <w:ind w:left="2204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23"/>
      <w:numFmt w:val="decimal"/>
      <w:isLgl w:val="false"/>
      <w:suff w:val="tab"/>
      <w:lvlText w:val="%7."/>
      <w:lvlJc w:val="left"/>
      <w:pPr>
        <w:ind w:left="2204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31"/>
  </w:num>
  <w:num w:numId="5">
    <w:abstractNumId w:val="15"/>
  </w:num>
  <w:num w:numId="6">
    <w:abstractNumId w:val="23"/>
  </w:num>
  <w:num w:numId="7">
    <w:abstractNumId w:val="6"/>
  </w:num>
  <w:num w:numId="8">
    <w:abstractNumId w:val="10"/>
  </w:num>
  <w:num w:numId="9">
    <w:abstractNumId w:val="30"/>
  </w:num>
  <w:num w:numId="10">
    <w:abstractNumId w:val="36"/>
  </w:num>
  <w:num w:numId="11">
    <w:abstractNumId w:val="26"/>
  </w:num>
  <w:num w:numId="12">
    <w:abstractNumId w:val="33"/>
  </w:num>
  <w:num w:numId="13">
    <w:abstractNumId w:val="19"/>
  </w:num>
  <w:num w:numId="14">
    <w:abstractNumId w:val="43"/>
  </w:num>
  <w:num w:numId="15">
    <w:abstractNumId w:val="3"/>
  </w:num>
  <w:num w:numId="16">
    <w:abstractNumId w:val="21"/>
  </w:num>
  <w:num w:numId="17">
    <w:abstractNumId w:val="16"/>
  </w:num>
  <w:num w:numId="18">
    <w:abstractNumId w:val="40"/>
  </w:num>
  <w:num w:numId="19">
    <w:abstractNumId w:val="34"/>
  </w:num>
  <w:num w:numId="20">
    <w:abstractNumId w:val="47"/>
  </w:num>
  <w:num w:numId="21">
    <w:abstractNumId w:val="38"/>
  </w:num>
  <w:num w:numId="22">
    <w:abstractNumId w:val="0"/>
  </w:num>
  <w:num w:numId="23">
    <w:abstractNumId w:val="46"/>
  </w:num>
  <w:num w:numId="24">
    <w:abstractNumId w:val="22"/>
  </w:num>
  <w:num w:numId="25">
    <w:abstractNumId w:val="39"/>
  </w:num>
  <w:num w:numId="26">
    <w:abstractNumId w:val="13"/>
  </w:num>
  <w:num w:numId="27">
    <w:abstractNumId w:val="29"/>
  </w:num>
  <w:num w:numId="28">
    <w:abstractNumId w:val="1"/>
  </w:num>
  <w:num w:numId="29">
    <w:abstractNumId w:val="45"/>
  </w:num>
  <w:num w:numId="30">
    <w:abstractNumId w:val="41"/>
  </w:num>
  <w:num w:numId="31">
    <w:abstractNumId w:val="35"/>
  </w:num>
  <w:num w:numId="32">
    <w:abstractNumId w:val="44"/>
  </w:num>
  <w:num w:numId="33">
    <w:abstractNumId w:val="20"/>
  </w:num>
  <w:num w:numId="34">
    <w:abstractNumId w:val="4"/>
  </w:num>
  <w:num w:numId="35">
    <w:abstractNumId w:val="27"/>
  </w:num>
  <w:num w:numId="36">
    <w:abstractNumId w:val="7"/>
  </w:num>
  <w:num w:numId="37">
    <w:abstractNumId w:val="9"/>
  </w:num>
  <w:num w:numId="38">
    <w:abstractNumId w:val="11"/>
  </w:num>
  <w:num w:numId="39">
    <w:abstractNumId w:val="8"/>
  </w:num>
  <w:num w:numId="40">
    <w:abstractNumId w:val="42"/>
  </w:num>
  <w:num w:numId="41">
    <w:abstractNumId w:val="17"/>
  </w:num>
  <w:num w:numId="42">
    <w:abstractNumId w:val="12"/>
  </w:num>
  <w:num w:numId="43">
    <w:abstractNumId w:val="24"/>
  </w:num>
  <w:num w:numId="44">
    <w:abstractNumId w:val="25"/>
  </w:num>
  <w:num w:numId="45">
    <w:abstractNumId w:val="37"/>
  </w:num>
  <w:num w:numId="46">
    <w:abstractNumId w:val="2"/>
  </w:num>
  <w:num w:numId="47">
    <w:abstractNumId w:val="18"/>
  </w:num>
  <w:num w:numId="48">
    <w:abstractNumId w:val="5"/>
  </w:num>
  <w:num w:numId="49">
    <w:abstractNumId w:val="28"/>
  </w:num>
  <w:num w:numId="50">
    <w:abstractNumId w:val="32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  <w:num w:numId="62">
    <w:abstractNumId w:val="59"/>
  </w:num>
  <w:num w:numId="63">
    <w:abstractNumId w:val="60"/>
  </w:num>
  <w:num w:numId="64">
    <w:abstractNumId w:val="61"/>
  </w:num>
  <w:num w:numId="65">
    <w:abstractNumId w:val="62"/>
  </w:num>
  <w:num w:numId="66">
    <w:abstractNumId w:val="63"/>
  </w:num>
  <w:num w:numId="67">
    <w:abstractNumId w:val="64"/>
  </w:num>
  <w:num w:numId="68">
    <w:abstractNumId w:val="65"/>
  </w:num>
  <w:num w:numId="69">
    <w:abstractNumId w:val="6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48">
    <w:name w:val="Heading 1 Char"/>
    <w:basedOn w:val="1016"/>
    <w:link w:val="1007"/>
    <w:uiPriority w:val="9"/>
    <w:rPr>
      <w:rFonts w:ascii="Arial" w:hAnsi="Arial" w:eastAsia="Arial" w:cs="Arial"/>
      <w:sz w:val="40"/>
      <w:szCs w:val="40"/>
    </w:rPr>
  </w:style>
  <w:style w:type="character" w:styleId="849">
    <w:name w:val="Heading 2 Char"/>
    <w:basedOn w:val="1016"/>
    <w:link w:val="1008"/>
    <w:uiPriority w:val="9"/>
    <w:rPr>
      <w:rFonts w:ascii="Arial" w:hAnsi="Arial" w:eastAsia="Arial" w:cs="Arial"/>
      <w:sz w:val="34"/>
    </w:rPr>
  </w:style>
  <w:style w:type="character" w:styleId="850">
    <w:name w:val="Heading 3 Char"/>
    <w:basedOn w:val="1016"/>
    <w:link w:val="1009"/>
    <w:uiPriority w:val="9"/>
    <w:rPr>
      <w:rFonts w:ascii="Arial" w:hAnsi="Arial" w:eastAsia="Arial" w:cs="Arial"/>
      <w:sz w:val="30"/>
      <w:szCs w:val="30"/>
    </w:rPr>
  </w:style>
  <w:style w:type="character" w:styleId="851">
    <w:name w:val="Heading 4 Char"/>
    <w:basedOn w:val="1016"/>
    <w:link w:val="1010"/>
    <w:uiPriority w:val="9"/>
    <w:rPr>
      <w:rFonts w:ascii="Arial" w:hAnsi="Arial" w:eastAsia="Arial" w:cs="Arial"/>
      <w:b/>
      <w:bCs/>
      <w:sz w:val="26"/>
      <w:szCs w:val="26"/>
    </w:rPr>
  </w:style>
  <w:style w:type="character" w:styleId="852">
    <w:name w:val="Heading 5 Char"/>
    <w:basedOn w:val="1016"/>
    <w:link w:val="1011"/>
    <w:uiPriority w:val="9"/>
    <w:rPr>
      <w:rFonts w:ascii="Arial" w:hAnsi="Arial" w:eastAsia="Arial" w:cs="Arial"/>
      <w:b/>
      <w:bCs/>
      <w:sz w:val="24"/>
      <w:szCs w:val="24"/>
    </w:rPr>
  </w:style>
  <w:style w:type="character" w:styleId="853">
    <w:name w:val="Heading 6 Char"/>
    <w:basedOn w:val="1016"/>
    <w:link w:val="1012"/>
    <w:uiPriority w:val="9"/>
    <w:rPr>
      <w:rFonts w:ascii="Arial" w:hAnsi="Arial" w:eastAsia="Arial" w:cs="Arial"/>
      <w:b/>
      <w:bCs/>
      <w:sz w:val="22"/>
      <w:szCs w:val="22"/>
    </w:rPr>
  </w:style>
  <w:style w:type="character" w:styleId="854">
    <w:name w:val="Heading 7 Char"/>
    <w:basedOn w:val="1016"/>
    <w:link w:val="10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55">
    <w:name w:val="Heading 8 Char"/>
    <w:basedOn w:val="1016"/>
    <w:link w:val="1014"/>
    <w:uiPriority w:val="9"/>
    <w:rPr>
      <w:rFonts w:ascii="Arial" w:hAnsi="Arial" w:eastAsia="Arial" w:cs="Arial"/>
      <w:i/>
      <w:iCs/>
      <w:sz w:val="22"/>
      <w:szCs w:val="22"/>
    </w:rPr>
  </w:style>
  <w:style w:type="character" w:styleId="856">
    <w:name w:val="Heading 9 Char"/>
    <w:basedOn w:val="1016"/>
    <w:link w:val="1015"/>
    <w:uiPriority w:val="9"/>
    <w:rPr>
      <w:rFonts w:ascii="Arial" w:hAnsi="Arial" w:eastAsia="Arial" w:cs="Arial"/>
      <w:i/>
      <w:iCs/>
      <w:sz w:val="21"/>
      <w:szCs w:val="21"/>
    </w:rPr>
  </w:style>
  <w:style w:type="character" w:styleId="857">
    <w:name w:val="Title Char"/>
    <w:basedOn w:val="1016"/>
    <w:link w:val="1028"/>
    <w:uiPriority w:val="10"/>
    <w:rPr>
      <w:sz w:val="48"/>
      <w:szCs w:val="48"/>
    </w:rPr>
  </w:style>
  <w:style w:type="character" w:styleId="858">
    <w:name w:val="Subtitle Char"/>
    <w:basedOn w:val="1016"/>
    <w:link w:val="1030"/>
    <w:uiPriority w:val="11"/>
    <w:rPr>
      <w:sz w:val="24"/>
      <w:szCs w:val="24"/>
    </w:rPr>
  </w:style>
  <w:style w:type="character" w:styleId="859">
    <w:name w:val="Quote Char"/>
    <w:link w:val="1032"/>
    <w:uiPriority w:val="29"/>
    <w:rPr>
      <w:i/>
    </w:rPr>
  </w:style>
  <w:style w:type="character" w:styleId="860">
    <w:name w:val="Intense Quote Char"/>
    <w:link w:val="1036"/>
    <w:uiPriority w:val="30"/>
    <w:rPr>
      <w:i/>
    </w:rPr>
  </w:style>
  <w:style w:type="character" w:styleId="861">
    <w:name w:val="Header Char"/>
    <w:basedOn w:val="1016"/>
    <w:link w:val="1045"/>
    <w:uiPriority w:val="99"/>
  </w:style>
  <w:style w:type="character" w:styleId="862">
    <w:name w:val="Footer Char"/>
    <w:basedOn w:val="1016"/>
    <w:link w:val="1047"/>
    <w:uiPriority w:val="99"/>
  </w:style>
  <w:style w:type="paragraph" w:styleId="863">
    <w:name w:val="Caption"/>
    <w:basedOn w:val="1006"/>
    <w:next w:val="1006"/>
    <w:link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4">
    <w:name w:val="Caption Char"/>
    <w:basedOn w:val="1016"/>
    <w:link w:val="863"/>
    <w:uiPriority w:val="35"/>
    <w:rPr>
      <w:b/>
      <w:bCs/>
      <w:color w:val="4f81bd" w:themeColor="accent1"/>
      <w:sz w:val="18"/>
      <w:szCs w:val="18"/>
    </w:rPr>
  </w:style>
  <w:style w:type="table" w:styleId="865">
    <w:name w:val="Table Grid Light"/>
    <w:basedOn w:val="10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6">
    <w:name w:val="Plain Table 1"/>
    <w:basedOn w:val="10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7">
    <w:name w:val="Plain Table 2"/>
    <w:basedOn w:val="10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8">
    <w:name w:val="Plain Table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9">
    <w:name w:val="Plain Table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Plain Table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1">
    <w:name w:val="Grid Table 1 Light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Grid Table 1 Light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Grid Table 1 Light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Grid Table 1 Light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Grid Table 1 Light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Grid Table 1 Light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Grid Table 1 Light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Grid Table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79">
    <w:name w:val="Grid Table 2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0">
    <w:name w:val="Grid Table 2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1">
    <w:name w:val="Grid Table 2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2">
    <w:name w:val="Grid Table 2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3">
    <w:name w:val="Grid Table 2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4">
    <w:name w:val="Grid Table 2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5">
    <w:name w:val="Grid Table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6">
    <w:name w:val="Grid Table 3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7">
    <w:name w:val="Grid Table 3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8">
    <w:name w:val="Grid Table 3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9">
    <w:name w:val="Grid Table 3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0">
    <w:name w:val="Grid Table 3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1">
    <w:name w:val="Grid Table 3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2">
    <w:name w:val="Grid Table 4"/>
    <w:basedOn w:val="10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3">
    <w:name w:val="Grid Table 4 - Accent 1"/>
    <w:basedOn w:val="10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37f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94">
    <w:name w:val="Grid Table 4 - Accent 2"/>
    <w:basedOn w:val="10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95">
    <w:name w:val="Grid Table 4 - Accent 3"/>
    <w:basedOn w:val="10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96">
    <w:name w:val="Grid Table 4 - Accent 4"/>
    <w:basedOn w:val="10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97">
    <w:name w:val="Grid Table 4 - Accent 5"/>
    <w:basedOn w:val="10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8">
    <w:name w:val="Grid Table 4 - Accent 6"/>
    <w:basedOn w:val="10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9">
    <w:name w:val="Grid Table 5 Dark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900">
    <w:name w:val="Grid Table 5 Dark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</w:style>
  <w:style w:type="table" w:styleId="901">
    <w:name w:val="Grid Table 5 Dark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902">
    <w:name w:val="Grid Table 5 Dark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903">
    <w:name w:val="Grid Table 5 Dark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904">
    <w:name w:val="Grid Table 5 Dark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</w:style>
  <w:style w:type="table" w:styleId="905">
    <w:name w:val="Grid Table 5 Dark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6">
    <w:name w:val="Grid Table 6 Colorful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7">
    <w:name w:val="Grid Table 6 Colorful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8">
    <w:name w:val="Grid Table 6 Colorful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09">
    <w:name w:val="Grid Table 6 Colorful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10">
    <w:name w:val="Grid Table 6 Colorful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1">
    <w:name w:val="Grid Table 6 Colorful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12">
    <w:name w:val="Grid Table 6 Colorful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13">
    <w:name w:val="Grid Table 7 Colorful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4">
    <w:name w:val="Grid Table 7 Colorful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5">
    <w:name w:val="Grid Table 7 Colorful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6">
    <w:name w:val="Grid Table 7 Colorful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7">
    <w:name w:val="Grid Table 7 Colorful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8">
    <w:name w:val="Grid Table 7 Colorful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9">
    <w:name w:val="Grid Table 7 Colorful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20">
    <w:name w:val="List Table 1 Light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List Table 1 Light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List Table 1 Light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List Table 1 Light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List Table 1 Light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List Table 1 Light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List Table 1 Light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List Table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8">
    <w:name w:val="List Table 2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9">
    <w:name w:val="List Table 2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30">
    <w:name w:val="List Table 2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31">
    <w:name w:val="List Table 2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32">
    <w:name w:val="List Table 2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33">
    <w:name w:val="List Table 2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34">
    <w:name w:val="List Table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3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3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3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3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3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3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4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>
    <w:name w:val="List Table 4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4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List Table 4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List Table 4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>
    <w:name w:val="List Table 4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>
    <w:name w:val="List Table 5 Dark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9">
    <w:name w:val="List Table 5 Dark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0">
    <w:name w:val="List Table 5 Dark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1">
    <w:name w:val="List Table 5 Dark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2">
    <w:name w:val="List Table 5 Dark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3">
    <w:name w:val="List Table 5 Dark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4e5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4">
    <w:name w:val="List Table 5 Dark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5">
    <w:name w:val="List Table 6 Colorful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56">
    <w:name w:val="List Table 6 Colorful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7">
    <w:name w:val="List Table 6 Colorful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8">
    <w:name w:val="List Table 6 Colorful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9">
    <w:name w:val="List Table 6 Colorful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60">
    <w:name w:val="List Table 6 Colorful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61">
    <w:name w:val="List Table 6 Colorful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62">
    <w:name w:val="List Table 7 Colorful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63">
    <w:name w:val="List Table 7 Colorful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964">
    <w:name w:val="List Table 7 Colorful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65">
    <w:name w:val="List Table 7 Colorful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66">
    <w:name w:val="List Table 7 Colorful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67">
    <w:name w:val="List Table 7 Colorful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968">
    <w:name w:val="List Table 7 Colorful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69">
    <w:name w:val="Lined - Accent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0">
    <w:name w:val="Lined - Accent 1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71">
    <w:name w:val="Lined - Accent 2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72">
    <w:name w:val="Lined - Accent 3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73">
    <w:name w:val="Lined - Accent 4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74">
    <w:name w:val="Lined - Accent 5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75">
    <w:name w:val="Lined - Accent 6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76">
    <w:name w:val="Bordered &amp; Lined - Accent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7">
    <w:name w:val="Bordered &amp; Lined - Accent 1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78">
    <w:name w:val="Bordered &amp; Lined - Accent 2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79">
    <w:name w:val="Bordered &amp; Lined - Accent 3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80">
    <w:name w:val="Bordered &amp; Lined - Accent 4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81">
    <w:name w:val="Bordered &amp; Lined - Accent 5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82">
    <w:name w:val="Bordered &amp; Lined - Accent 6"/>
    <w:basedOn w:val="10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83">
    <w:name w:val="Bordered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84">
    <w:name w:val="Bordered - Accent 1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85">
    <w:name w:val="Bordered - Accent 2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86">
    <w:name w:val="Bordered - Accent 3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87">
    <w:name w:val="Bordered - Accent 4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8">
    <w:name w:val="Bordered - Accent 5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9">
    <w:name w:val="Bordered - Accent 6"/>
    <w:basedOn w:val="10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90">
    <w:name w:val="Hyperlink"/>
    <w:uiPriority w:val="99"/>
    <w:unhideWhenUsed/>
    <w:rPr>
      <w:color w:val="0000ff" w:themeColor="hyperlink"/>
      <w:u w:val="single"/>
    </w:rPr>
  </w:style>
  <w:style w:type="character" w:styleId="991">
    <w:name w:val="Footnote Text Char"/>
    <w:link w:val="1073"/>
    <w:uiPriority w:val="99"/>
    <w:rPr>
      <w:sz w:val="18"/>
    </w:rPr>
  </w:style>
  <w:style w:type="paragraph" w:styleId="992">
    <w:name w:val="endnote text"/>
    <w:basedOn w:val="1006"/>
    <w:link w:val="993"/>
    <w:uiPriority w:val="99"/>
    <w:semiHidden/>
    <w:unhideWhenUsed/>
    <w:pPr>
      <w:spacing w:after="0" w:line="240" w:lineRule="auto"/>
    </w:pPr>
    <w:rPr>
      <w:sz w:val="20"/>
    </w:rPr>
  </w:style>
  <w:style w:type="character" w:styleId="993">
    <w:name w:val="Endnote Text Char"/>
    <w:link w:val="992"/>
    <w:uiPriority w:val="99"/>
    <w:rPr>
      <w:sz w:val="20"/>
    </w:rPr>
  </w:style>
  <w:style w:type="character" w:styleId="994">
    <w:name w:val="endnote reference"/>
    <w:basedOn w:val="1016"/>
    <w:uiPriority w:val="99"/>
    <w:semiHidden/>
    <w:unhideWhenUsed/>
    <w:rPr>
      <w:vertAlign w:val="superscript"/>
    </w:rPr>
  </w:style>
  <w:style w:type="paragraph" w:styleId="995">
    <w:name w:val="toc 1"/>
    <w:basedOn w:val="1006"/>
    <w:next w:val="1006"/>
    <w:uiPriority w:val="39"/>
    <w:unhideWhenUsed/>
    <w:pPr>
      <w:spacing w:after="57"/>
      <w:ind w:left="0" w:right="0" w:firstLine="0"/>
    </w:pPr>
  </w:style>
  <w:style w:type="paragraph" w:styleId="996">
    <w:name w:val="toc 2"/>
    <w:basedOn w:val="1006"/>
    <w:next w:val="1006"/>
    <w:uiPriority w:val="39"/>
    <w:unhideWhenUsed/>
    <w:pPr>
      <w:spacing w:after="57"/>
      <w:ind w:left="283" w:right="0" w:firstLine="0"/>
    </w:pPr>
  </w:style>
  <w:style w:type="paragraph" w:styleId="997">
    <w:name w:val="toc 3"/>
    <w:basedOn w:val="1006"/>
    <w:next w:val="1006"/>
    <w:uiPriority w:val="39"/>
    <w:unhideWhenUsed/>
    <w:pPr>
      <w:spacing w:after="57"/>
      <w:ind w:left="567" w:right="0" w:firstLine="0"/>
    </w:pPr>
  </w:style>
  <w:style w:type="paragraph" w:styleId="998">
    <w:name w:val="toc 4"/>
    <w:basedOn w:val="1006"/>
    <w:next w:val="1006"/>
    <w:uiPriority w:val="39"/>
    <w:unhideWhenUsed/>
    <w:pPr>
      <w:spacing w:after="57"/>
      <w:ind w:left="850" w:right="0" w:firstLine="0"/>
    </w:pPr>
  </w:style>
  <w:style w:type="paragraph" w:styleId="999">
    <w:name w:val="toc 5"/>
    <w:basedOn w:val="1006"/>
    <w:next w:val="1006"/>
    <w:uiPriority w:val="39"/>
    <w:unhideWhenUsed/>
    <w:pPr>
      <w:spacing w:after="57"/>
      <w:ind w:left="1134" w:right="0" w:firstLine="0"/>
    </w:pPr>
  </w:style>
  <w:style w:type="paragraph" w:styleId="1000">
    <w:name w:val="toc 6"/>
    <w:basedOn w:val="1006"/>
    <w:next w:val="1006"/>
    <w:uiPriority w:val="39"/>
    <w:unhideWhenUsed/>
    <w:pPr>
      <w:spacing w:after="57"/>
      <w:ind w:left="1417" w:right="0" w:firstLine="0"/>
    </w:pPr>
  </w:style>
  <w:style w:type="paragraph" w:styleId="1001">
    <w:name w:val="toc 7"/>
    <w:basedOn w:val="1006"/>
    <w:next w:val="1006"/>
    <w:uiPriority w:val="39"/>
    <w:unhideWhenUsed/>
    <w:pPr>
      <w:spacing w:after="57"/>
      <w:ind w:left="1701" w:right="0" w:firstLine="0"/>
    </w:pPr>
  </w:style>
  <w:style w:type="paragraph" w:styleId="1002">
    <w:name w:val="toc 8"/>
    <w:basedOn w:val="1006"/>
    <w:next w:val="1006"/>
    <w:uiPriority w:val="39"/>
    <w:unhideWhenUsed/>
    <w:pPr>
      <w:spacing w:after="57"/>
      <w:ind w:left="1984" w:right="0" w:firstLine="0"/>
    </w:pPr>
  </w:style>
  <w:style w:type="paragraph" w:styleId="1003">
    <w:name w:val="toc 9"/>
    <w:basedOn w:val="1006"/>
    <w:next w:val="1006"/>
    <w:uiPriority w:val="39"/>
    <w:unhideWhenUsed/>
    <w:pPr>
      <w:spacing w:after="57"/>
      <w:ind w:left="2268" w:right="0" w:firstLine="0"/>
    </w:pPr>
  </w:style>
  <w:style w:type="paragraph" w:styleId="1004">
    <w:name w:val="TOC Heading"/>
    <w:uiPriority w:val="39"/>
    <w:unhideWhenUsed/>
  </w:style>
  <w:style w:type="paragraph" w:styleId="1005">
    <w:name w:val="table of figures"/>
    <w:basedOn w:val="1006"/>
    <w:next w:val="1006"/>
    <w:uiPriority w:val="99"/>
    <w:unhideWhenUsed/>
    <w:pPr>
      <w:spacing w:after="0" w:afterAutospacing="0"/>
    </w:pPr>
  </w:style>
  <w:style w:type="paragraph" w:styleId="1006" w:default="1">
    <w:name w:val="Normal"/>
    <w:link w:val="1039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07">
    <w:name w:val="Heading 1"/>
    <w:basedOn w:val="1006"/>
    <w:next w:val="1006"/>
    <w:link w:val="1019"/>
    <w:uiPriority w:val="9"/>
    <w:qFormat/>
    <w:pPr>
      <w:keepNext/>
      <w:keepLines/>
      <w:spacing w:before="360" w:after="80"/>
      <w:outlineLvl w:val="0"/>
    </w:pPr>
  </w:style>
  <w:style w:type="paragraph" w:styleId="1008">
    <w:name w:val="Heading 2"/>
    <w:basedOn w:val="1006"/>
    <w:next w:val="1006"/>
    <w:link w:val="10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1009">
    <w:name w:val="Heading 3"/>
    <w:basedOn w:val="1006"/>
    <w:next w:val="1006"/>
    <w:link w:val="1021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1010">
    <w:name w:val="Heading 4"/>
    <w:basedOn w:val="1006"/>
    <w:next w:val="1006"/>
    <w:link w:val="1022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1011">
    <w:name w:val="Heading 5"/>
    <w:basedOn w:val="1006"/>
    <w:next w:val="1006"/>
    <w:link w:val="1023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1012">
    <w:name w:val="Heading 6"/>
    <w:basedOn w:val="1006"/>
    <w:next w:val="1006"/>
    <w:link w:val="1024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1013">
    <w:name w:val="Heading 7"/>
    <w:basedOn w:val="1006"/>
    <w:next w:val="1006"/>
    <w:link w:val="1025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1014">
    <w:name w:val="Heading 8"/>
    <w:basedOn w:val="1006"/>
    <w:next w:val="1006"/>
    <w:link w:val="1026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1015">
    <w:name w:val="Heading 9"/>
    <w:basedOn w:val="1006"/>
    <w:next w:val="1006"/>
    <w:link w:val="1027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1016" w:default="1">
    <w:name w:val="Default Paragraph Font"/>
    <w:uiPriority w:val="1"/>
    <w:semiHidden/>
    <w:unhideWhenUsed/>
  </w:style>
  <w:style w:type="table" w:styleId="10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18" w:default="1">
    <w:name w:val="No List"/>
    <w:uiPriority w:val="99"/>
    <w:semiHidden/>
    <w:unhideWhenUsed/>
  </w:style>
  <w:style w:type="character" w:styleId="1019" w:customStyle="1">
    <w:name w:val="Заголовок 1 Знак"/>
    <w:basedOn w:val="1016"/>
    <w:link w:val="1007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1020" w:customStyle="1">
    <w:name w:val="Заголовок 2 Знак"/>
    <w:basedOn w:val="1016"/>
    <w:link w:val="1008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1021" w:customStyle="1">
    <w:name w:val="Заголовок 3 Знак"/>
    <w:basedOn w:val="1016"/>
    <w:link w:val="1009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1022" w:customStyle="1">
    <w:name w:val="Заголовок 4 Знак"/>
    <w:basedOn w:val="1016"/>
    <w:link w:val="1010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1023" w:customStyle="1">
    <w:name w:val="Заголовок 5 Знак"/>
    <w:basedOn w:val="1016"/>
    <w:link w:val="1011"/>
    <w:uiPriority w:val="9"/>
    <w:semiHidden/>
    <w:rPr>
      <w:rFonts w:eastAsiaTheme="majorEastAsia" w:cstheme="majorBidi"/>
      <w:color w:val="2f5496" w:themeColor="accent1" w:themeShade="BF"/>
    </w:rPr>
  </w:style>
  <w:style w:type="character" w:styleId="1024" w:customStyle="1">
    <w:name w:val="Заголовок 6 Знак"/>
    <w:basedOn w:val="1016"/>
    <w:link w:val="1012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1025" w:customStyle="1">
    <w:name w:val="Заголовок 7 Знак"/>
    <w:basedOn w:val="1016"/>
    <w:link w:val="1013"/>
    <w:uiPriority w:val="9"/>
    <w:semiHidden/>
    <w:rPr>
      <w:rFonts w:eastAsiaTheme="majorEastAsia" w:cstheme="majorBidi"/>
      <w:color w:val="595959" w:themeColor="text1" w:themeTint="A6"/>
    </w:rPr>
  </w:style>
  <w:style w:type="character" w:styleId="1026" w:customStyle="1">
    <w:name w:val="Заголовок 8 Знак"/>
    <w:basedOn w:val="1016"/>
    <w:link w:val="1014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1027" w:customStyle="1">
    <w:name w:val="Заголовок 9 Знак"/>
    <w:basedOn w:val="1016"/>
    <w:link w:val="1015"/>
    <w:uiPriority w:val="9"/>
    <w:semiHidden/>
    <w:rPr>
      <w:rFonts w:eastAsiaTheme="majorEastAsia" w:cstheme="majorBidi"/>
      <w:color w:val="272727" w:themeColor="text1" w:themeTint="D8"/>
    </w:rPr>
  </w:style>
  <w:style w:type="paragraph" w:styleId="1028">
    <w:name w:val="Title"/>
    <w:basedOn w:val="1006"/>
    <w:next w:val="1006"/>
    <w:link w:val="1029"/>
    <w:uiPriority w:val="10"/>
    <w:qFormat/>
    <w:pPr>
      <w:spacing w:after="80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1029" w:customStyle="1">
    <w:name w:val="Название Знак"/>
    <w:basedOn w:val="1016"/>
    <w:link w:val="1028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1030">
    <w:name w:val="Subtitle"/>
    <w:basedOn w:val="1006"/>
    <w:next w:val="1006"/>
    <w:link w:val="1031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1031" w:customStyle="1">
    <w:name w:val="Подзаголовок Знак"/>
    <w:basedOn w:val="1016"/>
    <w:link w:val="1030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1032">
    <w:name w:val="Quote"/>
    <w:basedOn w:val="1006"/>
    <w:next w:val="1006"/>
    <w:link w:val="103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1033" w:customStyle="1">
    <w:name w:val="Цитата 2 Знак"/>
    <w:basedOn w:val="1016"/>
    <w:link w:val="1032"/>
    <w:uiPriority w:val="29"/>
    <w:rPr>
      <w:i/>
      <w:iCs/>
      <w:color w:val="404040" w:themeColor="text1" w:themeTint="BF"/>
    </w:rPr>
  </w:style>
  <w:style w:type="paragraph" w:styleId="1034">
    <w:name w:val="List Paragraph"/>
    <w:basedOn w:val="1006"/>
    <w:link w:val="1042"/>
    <w:uiPriority w:val="34"/>
    <w:qFormat/>
    <w:pPr>
      <w:ind w:left="720"/>
      <w:contextualSpacing/>
    </w:pPr>
  </w:style>
  <w:style w:type="character" w:styleId="1035">
    <w:name w:val="Intense Emphasis"/>
    <w:basedOn w:val="1016"/>
    <w:uiPriority w:val="21"/>
    <w:qFormat/>
    <w:rPr>
      <w:i/>
      <w:iCs/>
      <w:color w:val="2f5496" w:themeColor="accent1" w:themeShade="BF"/>
    </w:rPr>
  </w:style>
  <w:style w:type="paragraph" w:styleId="1036">
    <w:name w:val="Intense Quote"/>
    <w:basedOn w:val="1006"/>
    <w:next w:val="1006"/>
    <w:link w:val="1037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1037" w:customStyle="1">
    <w:name w:val="Выделенная цитата Знак"/>
    <w:basedOn w:val="1016"/>
    <w:link w:val="1036"/>
    <w:uiPriority w:val="30"/>
    <w:rPr>
      <w:i/>
      <w:iCs/>
      <w:color w:val="2f5496" w:themeColor="accent1" w:themeShade="BF"/>
    </w:rPr>
  </w:style>
  <w:style w:type="character" w:styleId="1038">
    <w:name w:val="Intense Reference"/>
    <w:basedOn w:val="1016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1039" w:customStyle="1">
    <w:name w:val="Обычный1"/>
    <w:rPr>
      <w:rFonts w:ascii="Times New Roman" w:hAnsi="Times New Roman"/>
      <w:color w:val="000000"/>
      <w:sz w:val="24"/>
    </w:rPr>
  </w:style>
  <w:style w:type="table" w:styleId="1040">
    <w:name w:val="Table Grid"/>
    <w:basedOn w:val="1017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41" w:customStyle="1">
    <w:name w:val="! ТЗ Стиль __ТекстОсн_1и + Times New Roman 12 пт По ширине Первая стр..."/>
    <w:basedOn w:val="1006"/>
    <w:pPr>
      <w:tabs>
        <w:tab w:val="left" w:pos="851" w:leader="none"/>
      </w:tabs>
      <w:spacing w:before="60" w:after="60" w:line="360" w:lineRule="auto"/>
      <w:ind w:firstLine="709"/>
      <w:jc w:val="both"/>
    </w:pPr>
  </w:style>
  <w:style w:type="character" w:styleId="1042" w:customStyle="1">
    <w:name w:val="Абзац списка Знак"/>
    <w:basedOn w:val="1039"/>
    <w:link w:val="1034"/>
    <w:uiPriority w:val="34"/>
    <w:qFormat/>
    <w:rPr>
      <w:rFonts w:ascii="Times New Roman" w:hAnsi="Times New Roman"/>
      <w:color w:val="000000"/>
      <w:sz w:val="24"/>
    </w:rPr>
  </w:style>
  <w:style w:type="paragraph" w:styleId="1043" w:customStyle="1">
    <w:name w:val="Знак сноски1"/>
    <w:basedOn w:val="1006"/>
    <w:pPr>
      <w:spacing w:after="160" w:line="264" w:lineRule="auto"/>
    </w:pPr>
    <w:rPr>
      <w:rFonts w:asciiTheme="minorHAnsi" w:hAnsiTheme="minorHAnsi"/>
      <w:sz w:val="22"/>
      <w:vertAlign w:val="superscript"/>
    </w:rPr>
  </w:style>
  <w:style w:type="paragraph" w:styleId="1044" w:customStyle="1">
    <w:name w:val="Footnote"/>
    <w:basedOn w:val="1006"/>
    <w:qFormat/>
    <w:rPr>
      <w:sz w:val="20"/>
    </w:rPr>
  </w:style>
  <w:style w:type="paragraph" w:styleId="1045">
    <w:name w:val="Header"/>
    <w:basedOn w:val="1006"/>
    <w:link w:val="1046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character" w:styleId="1046" w:customStyle="1">
    <w:name w:val="Верхний колонтитул Знак"/>
    <w:basedOn w:val="1016"/>
    <w:link w:val="1045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47">
    <w:name w:val="Footer"/>
    <w:basedOn w:val="1006"/>
    <w:link w:val="10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48" w:customStyle="1">
    <w:name w:val="Нижний колонтитул Знак"/>
    <w:basedOn w:val="1016"/>
    <w:link w:val="1047"/>
    <w:uiPriority w:val="99"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49">
    <w:name w:val="Balloon Text"/>
    <w:basedOn w:val="1006"/>
    <w:link w:val="1050"/>
    <w:uiPriority w:val="99"/>
    <w:semiHidden/>
    <w:unhideWhenUsed/>
    <w:rPr>
      <w:rFonts w:ascii="Tahoma" w:hAnsi="Tahoma" w:cs="Tahoma"/>
      <w:sz w:val="16"/>
      <w:szCs w:val="16"/>
    </w:rPr>
  </w:style>
  <w:style w:type="character" w:styleId="1050" w:customStyle="1">
    <w:name w:val="Текст выноски Знак"/>
    <w:basedOn w:val="1016"/>
    <w:link w:val="1049"/>
    <w:uiPriority w:val="99"/>
    <w:semiHidden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1051" w:customStyle="1">
    <w:name w:val="Comment Reference"/>
    <w:basedOn w:val="1016"/>
    <w:uiPriority w:val="99"/>
    <w:unhideWhenUsed/>
    <w:rPr>
      <w:sz w:val="16"/>
      <w:szCs w:val="16"/>
    </w:rPr>
  </w:style>
  <w:style w:type="paragraph" w:styleId="1052" w:customStyle="1">
    <w:name w:val="Comment Text"/>
    <w:basedOn w:val="1006"/>
    <w:link w:val="1053"/>
    <w:uiPriority w:val="99"/>
    <w:unhideWhenUsed/>
    <w:rPr>
      <w:sz w:val="20"/>
    </w:rPr>
  </w:style>
  <w:style w:type="character" w:styleId="1053" w:customStyle="1">
    <w:name w:val="Текст примечания Знак"/>
    <w:basedOn w:val="1016"/>
    <w:link w:val="1052"/>
    <w:uiPriority w:val="99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54">
    <w:name w:val="HTML Preformatted"/>
    <w:basedOn w:val="1006"/>
    <w:link w:val="1055"/>
    <w:uiPriority w:val="99"/>
    <w:semiHidden/>
    <w:unhideWhenUsed/>
    <w:rPr>
      <w:rFonts w:ascii="Consolas" w:hAnsi="Consolas"/>
      <w:sz w:val="20"/>
    </w:rPr>
  </w:style>
  <w:style w:type="character" w:styleId="1055" w:customStyle="1">
    <w:name w:val="Стандартный HTML Знак"/>
    <w:basedOn w:val="1016"/>
    <w:link w:val="1054"/>
    <w:uiPriority w:val="99"/>
    <w:semiHidden/>
    <w:rPr>
      <w:rFonts w:ascii="Consolas" w:hAnsi="Consolas" w:eastAsia="Times New Roman" w:cs="Times New Roman"/>
      <w:color w:val="000000"/>
      <w:sz w:val="20"/>
      <w:szCs w:val="20"/>
      <w:lang w:eastAsia="ru-RU"/>
    </w:rPr>
  </w:style>
  <w:style w:type="paragraph" w:styleId="1056" w:customStyle="1">
    <w:name w:val="Comment Subject"/>
    <w:basedOn w:val="1052"/>
    <w:next w:val="1052"/>
    <w:link w:val="1057"/>
    <w:uiPriority w:val="99"/>
    <w:semiHidden/>
    <w:unhideWhenUsed/>
    <w:rPr>
      <w:b/>
      <w:bCs/>
    </w:rPr>
  </w:style>
  <w:style w:type="character" w:styleId="1057" w:customStyle="1">
    <w:name w:val="Тема примечания Знак"/>
    <w:basedOn w:val="1053"/>
    <w:link w:val="1056"/>
    <w:uiPriority w:val="99"/>
    <w:semiHidden/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058" w:customStyle="1">
    <w:name w:val="Normal_79371b7a-96c2-4aee-86b3-da115190c775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1059" w:customStyle="1">
    <w:name w:val="Table Grid_f8d813e9-e683-45fa-b1a1-41f348f80ff5"/>
    <w:basedOn w:val="1017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60" w:customStyle="1">
    <w:name w:val="List Paragraph_93e6326d-5772-45f6-90d3-8daef26ea5aa"/>
    <w:basedOn w:val="1058"/>
    <w:uiPriority w:val="34"/>
    <w:qFormat/>
    <w:pPr>
      <w:ind w:left="720"/>
      <w:contextualSpacing/>
    </w:pPr>
  </w:style>
  <w:style w:type="paragraph" w:styleId="1061" w:customStyle="1">
    <w:name w:val="Footnote_3508fca1-1036-4831-a7c8-909c2a5d945c"/>
    <w:basedOn w:val="1058"/>
    <w:qFormat/>
    <w:rPr>
      <w:sz w:val="20"/>
    </w:rPr>
  </w:style>
  <w:style w:type="paragraph" w:styleId="1062" w:customStyle="1">
    <w:name w:val="Footnote_602e3339-e6d4-44d2-95de-ce1a8f165924"/>
    <w:basedOn w:val="1063"/>
    <w:qFormat/>
    <w:rPr>
      <w:sz w:val="20"/>
    </w:rPr>
  </w:style>
  <w:style w:type="paragraph" w:styleId="1063" w:customStyle="1">
    <w:name w:val="Normal_cc001841-a4c3-4bda-97b4-6bc7cbeae714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64" w:customStyle="1">
    <w:name w:val="ConsPlusNormal"/>
    <w:link w:val="1065"/>
    <w:pPr>
      <w:widowControl w:val="off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character" w:styleId="1065" w:customStyle="1">
    <w:name w:val="ConsPlusNormal Знак"/>
    <w:link w:val="1064"/>
    <w:rPr>
      <w:rFonts w:ascii="Calibri" w:hAnsi="Calibri" w:eastAsia="Times New Roman" w:cs="Calibri"/>
      <w:szCs w:val="20"/>
      <w:lang w:eastAsia="ru-RU"/>
    </w:rPr>
  </w:style>
  <w:style w:type="paragraph" w:styleId="1066" w:customStyle="1">
    <w:name w:val="Normal_3d159996-b9bf-40ba-b67f-80ddcd6696af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67" w:customStyle="1">
    <w:name w:val="Footnote_de1ec88f-7d25-4d34-a4df-31fe14573ec7"/>
    <w:basedOn w:val="1006"/>
    <w:qFormat/>
    <w:rPr>
      <w:sz w:val="20"/>
    </w:rPr>
  </w:style>
  <w:style w:type="paragraph" w:styleId="1068" w:customStyle="1">
    <w:name w:val="Normal_04f08c11-a7e5-4803-87fd-8bf8ba8b981d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69" w:customStyle="1">
    <w:name w:val="List Paragraph_e95faf6a-970a-4c54-a8cd-1e53a2a48e3c"/>
    <w:basedOn w:val="1006"/>
    <w:uiPriority w:val="34"/>
    <w:qFormat/>
    <w:pPr>
      <w:ind w:left="720"/>
      <w:contextualSpacing/>
    </w:pPr>
  </w:style>
  <w:style w:type="paragraph" w:styleId="1070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</w:rPr>
  </w:style>
  <w:style w:type="paragraph" w:styleId="1071" w:customStyle="1">
    <w:name w:val="List Paragraph_4dd90a87-3bcc-4fc6-9eb6-fdc6e79e531e"/>
    <w:basedOn w:val="1006"/>
    <w:uiPriority w:val="34"/>
    <w:qFormat/>
    <w:pPr>
      <w:ind w:left="720"/>
      <w:contextualSpacing/>
    </w:pPr>
  </w:style>
  <w:style w:type="paragraph" w:styleId="1072">
    <w:name w:val="Normal (Web)"/>
    <w:basedOn w:val="1006"/>
    <w:uiPriority w:val="99"/>
    <w:unhideWhenUsed/>
    <w:pPr>
      <w:spacing w:before="100" w:beforeAutospacing="1" w:after="100" w:afterAutospacing="1"/>
    </w:pPr>
    <w:rPr>
      <w:color w:val="auto"/>
      <w:szCs w:val="24"/>
    </w:rPr>
  </w:style>
  <w:style w:type="paragraph" w:styleId="1073">
    <w:name w:val="footnote text"/>
    <w:basedOn w:val="1006"/>
    <w:link w:val="1074"/>
    <w:uiPriority w:val="99"/>
    <w:semiHidden/>
    <w:unhideWhenUsed/>
    <w:rPr>
      <w:sz w:val="20"/>
    </w:rPr>
  </w:style>
  <w:style w:type="character" w:styleId="1074" w:customStyle="1">
    <w:name w:val="Текст сноски Знак"/>
    <w:basedOn w:val="1016"/>
    <w:link w:val="1073"/>
    <w:uiPriority w:val="99"/>
    <w:semiHidden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1075">
    <w:name w:val="footnote reference"/>
    <w:basedOn w:val="1016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media1.svg"/><Relationship Id="rId1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yperlink" Target="https://login.consultant.ru/link/?req=doc&amp;base=LAW&amp;n=509477&amp;dst=100585" TargetMode="External"/><Relationship Id="rId15" Type="http://schemas.openxmlformats.org/officeDocument/2006/relationships/hyperlink" Target="https://login.consultant.ru/link/?req=doc&amp;base=LAW&amp;n=509477&amp;dst=10081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471A8-0CF3-40D1-9475-892C617BF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kusi</cp:lastModifiedBy>
  <cp:revision>93</cp:revision>
  <dcterms:created xsi:type="dcterms:W3CDTF">2025-12-18T13:01:00Z</dcterms:created>
  <dcterms:modified xsi:type="dcterms:W3CDTF">2026-07-13T09:29:15Z</dcterms:modified>
</cp:coreProperties>
</file>