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ind w:left="10630" w:right="0" w:firstLine="0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11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left="10630" w:right="0" w:firstLine="0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региональной дорожной карте по повышению производительности труда в сфере социального обслуживания </w:t>
      </w:r>
      <w:r>
        <w:rPr>
          <w:rFonts w:ascii="Times New Roman" w:hAnsi="Times New Roman" w:cs="Times New Roman"/>
          <w:sz w:val="28"/>
          <w:szCs w:val="28"/>
        </w:rPr>
        <w:t xml:space="preserve">(социальной защиты) в Новосибирской области на период до 2030 года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Комплекс мероприятий региональной дорожной карты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по повышению производительности труда в сфере социального обслуживания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(социальной защиты)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в Новосибирской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области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на период до 2030 года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r>
    </w:p>
    <w:p>
      <w:pPr>
        <w:jc w:val="center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784"/>
        <w:tblW w:w="14598" w:type="dxa"/>
        <w:tblLayout w:type="fixed"/>
        <w:tblLook w:val="04A0" w:firstRow="1" w:lastRow="0" w:firstColumn="1" w:lastColumn="0" w:noHBand="0" w:noVBand="1"/>
      </w:tblPr>
      <w:tblGrid>
        <w:gridCol w:w="567"/>
        <w:gridCol w:w="1842"/>
        <w:gridCol w:w="1559"/>
        <w:gridCol w:w="1701"/>
        <w:gridCol w:w="992"/>
        <w:gridCol w:w="1134"/>
        <w:gridCol w:w="1134"/>
        <w:gridCol w:w="1134"/>
        <w:gridCol w:w="1134"/>
        <w:gridCol w:w="1134"/>
        <w:gridCol w:w="1134"/>
        <w:gridCol w:w="1134"/>
      </w:tblGrid>
      <w:tr>
        <w:tblPrEx/>
        <w:trPr/>
        <w:tc>
          <w:tcP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п/п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Наименование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мероприятия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исполнители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Ожидаемые результаты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Срок начала реализа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Срок оконча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реализа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НПА, регулирующий реализа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цию мероприя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тия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5"/>
            <w:tcW w:w="5669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Объем финансирования в разбивке по источникам, тыс. руб.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contextualSpacing/>
              <w:jc w:val="center"/>
              <w:spacing w:after="0" w:line="276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</w:r>
            <w:r>
              <w:rPr>
                <w:rFonts w:ascii="Times New Roman" w:hAnsi="Times New Roman" w:cs="Times New Roman"/>
                <w:lang w:eastAsia="ru-RU"/>
              </w:rPr>
            </w:r>
            <w:r>
              <w:rPr>
                <w:rFonts w:ascii="Times New Roman" w:hAnsi="Times New Roman" w:cs="Times New Roman"/>
                <w:lang w:eastAsia="ru-RU"/>
              </w:rPr>
            </w:r>
          </w:p>
        </w:tc>
        <w:tc>
          <w:tcPr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contextualSpacing/>
              <w:jc w:val="center"/>
              <w:spacing w:after="0" w:line="276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</w:r>
            <w:r>
              <w:rPr>
                <w:rFonts w:ascii="Times New Roman" w:hAnsi="Times New Roman" w:cs="Times New Roman"/>
                <w:lang w:eastAsia="ru-RU"/>
              </w:rPr>
            </w:r>
            <w:r>
              <w:rPr>
                <w:rFonts w:ascii="Times New Roman" w:hAnsi="Times New Roman" w:cs="Times New Roman"/>
                <w:lang w:eastAsia="ru-RU"/>
              </w:rPr>
            </w:r>
          </w:p>
        </w:tc>
        <w:tc>
          <w:tcPr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contextualSpacing/>
              <w:jc w:val="center"/>
              <w:spacing w:after="0" w:line="276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</w:r>
            <w:r>
              <w:rPr>
                <w:rFonts w:ascii="Times New Roman" w:hAnsi="Times New Roman" w:cs="Times New Roman"/>
                <w:lang w:eastAsia="ru-RU"/>
              </w:rPr>
            </w:r>
            <w:r>
              <w:rPr>
                <w:rFonts w:ascii="Times New Roman" w:hAnsi="Times New Roman" w:cs="Times New Roman"/>
                <w:lang w:eastAsia="ru-RU"/>
              </w:rPr>
            </w:r>
          </w:p>
        </w:tc>
        <w:tc>
          <w:tcPr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contextualSpacing/>
              <w:jc w:val="center"/>
              <w:spacing w:after="0" w:line="276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</w:r>
            <w:r>
              <w:rPr>
                <w:rFonts w:ascii="Times New Roman" w:hAnsi="Times New Roman" w:cs="Times New Roman"/>
                <w:lang w:eastAsia="ru-RU"/>
              </w:rPr>
            </w:r>
            <w:r>
              <w:rPr>
                <w:rFonts w:ascii="Times New Roman" w:hAnsi="Times New Roman" w:cs="Times New Roman"/>
                <w:lang w:eastAsia="ru-RU"/>
              </w:rPr>
            </w:r>
          </w:p>
        </w:tc>
        <w:tc>
          <w:tcPr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contextualSpacing/>
              <w:jc w:val="center"/>
              <w:spacing w:after="0" w:line="276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</w:r>
            <w:r>
              <w:rPr>
                <w:rFonts w:ascii="Times New Roman" w:hAnsi="Times New Roman" w:cs="Times New Roman"/>
                <w:lang w:eastAsia="ru-RU"/>
              </w:rPr>
            </w:r>
            <w:r>
              <w:rPr>
                <w:rFonts w:ascii="Times New Roman" w:hAnsi="Times New Roman" w:cs="Times New Roman"/>
                <w:lang w:eastAsia="ru-RU"/>
              </w:rPr>
            </w:r>
          </w:p>
        </w:tc>
        <w:tc>
          <w:tcP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contextualSpacing/>
              <w:jc w:val="center"/>
              <w:spacing w:after="0" w:line="276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</w:r>
            <w:r>
              <w:rPr>
                <w:rFonts w:ascii="Times New Roman" w:hAnsi="Times New Roman" w:cs="Times New Roman"/>
                <w:lang w:eastAsia="ru-RU"/>
              </w:rPr>
            </w:r>
            <w:r>
              <w:rPr>
                <w:rFonts w:ascii="Times New Roman" w:hAnsi="Times New Roman" w:cs="Times New Roman"/>
                <w:lang w:eastAsia="ru-RU"/>
              </w:rPr>
            </w:r>
          </w:p>
        </w:tc>
        <w:tc>
          <w:tcP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contextualSpacing/>
              <w:jc w:val="center"/>
              <w:spacing w:after="0" w:line="276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</w:r>
            <w:r>
              <w:rPr>
                <w:rFonts w:ascii="Times New Roman" w:hAnsi="Times New Roman" w:cs="Times New Roman"/>
                <w:lang w:eastAsia="ru-RU"/>
              </w:rPr>
            </w:r>
            <w:r>
              <w:rPr>
                <w:rFonts w:ascii="Times New Roman" w:hAnsi="Times New Roman" w:cs="Times New Roman"/>
                <w:lang w:eastAsia="ru-RU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2026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br/>
              <w:t xml:space="preserve">год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2027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br/>
              <w:t xml:space="preserve">год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2028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br/>
              <w:t xml:space="preserve">год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2029</w:t>
              <w:br/>
              <w:t xml:space="preserve">год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2030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br/>
              <w:t xml:space="preserve">год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 xml:space="preserve">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 xml:space="preserve">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 xml:space="preserve">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 xml:space="preserve">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 xml:space="preserve">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 xml:space="preserve">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 xml:space="preserve">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 xml:space="preserve">10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 xml:space="preserve">11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 xml:space="preserve">12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12"/>
            <w:tcW w:w="14598" w:type="dxa"/>
            <w:textDirection w:val="lrTb"/>
            <w:noWrap w:val="false"/>
          </w:tcPr>
          <w:p>
            <w:pPr>
              <w:pStyle w:val="929"/>
              <w:numPr>
                <w:ilvl w:val="0"/>
                <w:numId w:val="19"/>
              </w:numPr>
              <w:ind w:left="0"/>
              <w:jc w:val="center"/>
              <w:spacing w:after="0" w:afterAutospacing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Оптимизация сети государственных (муниципальных) организаций социального обслуживания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12"/>
            <w:tcW w:w="14598" w:type="dxa"/>
            <w:textDirection w:val="lrTb"/>
            <w:noWrap w:val="false"/>
          </w:tcPr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Мероприятия, действующие в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субъекте Российской Федерации до момента утверждения региональной дорожной карты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1.1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Анализ номенклатуры государственных (муниципальных) организаций социального обслуживания Новосибирской области в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соответствии с примерной номенклатурой организаций социального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обслуживания в Новосибирской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afterAutospacing="0" w:line="240" w:lineRule="auto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Минтруда и соцразвития НСО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Приведение типа организаций в соответствии с номенклатурой организаций социального обслуживания, утвержденной в регионе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2026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2030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1.2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Мониторинг качества социального обслуживания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afterAutospacing="0" w:line="240" w:lineRule="auto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Минтруда и соцразвития НСО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Недопущение ухудшения доступности и качества социальных услуг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2026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2030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12"/>
            <w:tcW w:w="14598" w:type="dxa"/>
            <w:textDirection w:val="lrTb"/>
            <w:noWrap w:val="false"/>
          </w:tcPr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Мероприятия, введенные с начала действия региональной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дорожной карты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1.3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Анализ сети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негосударственных поставщиков социальных услуг 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afterAutospacing="0" w:line="240" w:lineRule="auto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Минтруда и соцразвития НСО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yellow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Передача уникальных услуг на реализацию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2026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2030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132 335,1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156 140,6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156 140,6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156 140,6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156 140,6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1.4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Анализ территориальной доступности социальных услуг по итогам оптимизации сети и применение маршрутизации получателей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afterAutospacing="0" w:line="240" w:lineRule="auto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Минтруда и соцразвития НСО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Недопущение ухудшения доступности и качества социальных услуг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2026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2027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7"/>
            <w:tcW w:w="8929" w:type="dxa"/>
            <w:textDirection w:val="lrTb"/>
            <w:noWrap w:val="false"/>
          </w:tcPr>
          <w:p>
            <w:pPr>
              <w:contextualSpacing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Итого финансовые затраты на реализацию раздела 1 «Оптимизация сети организаций социального обслуживания (социальной защиты)» комплекса мероприятий региональной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дорожной карты по повышению производительности труда в сфере социального обслуживания (социальной защиты)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132 335,1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156 140,6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156 140,6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156 140,6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156 140,6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12"/>
            <w:tcW w:w="14598" w:type="dxa"/>
            <w:textDirection w:val="lrTb"/>
            <w:noWrap w:val="false"/>
          </w:tcPr>
          <w:p>
            <w:pPr>
              <w:pStyle w:val="929"/>
              <w:numPr>
                <w:ilvl w:val="0"/>
                <w:numId w:val="19"/>
              </w:numPr>
              <w:ind w:left="0"/>
              <w:jc w:val="center"/>
              <w:spacing w:after="0" w:afterAutospacing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Оптимизация структуры государственных (муниципальных) организаций социального обслуживания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12"/>
            <w:tcW w:w="14598" w:type="dxa"/>
            <w:textDirection w:val="lrTb"/>
            <w:noWrap w:val="false"/>
          </w:tcPr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Мероприятия, действующие в субъекте Российской Федерации до момента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утверждения региональной дорожной карты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2.1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Анализ фактической загрузки работников и кадровой структуры организаций одного профиля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afterAutospacing="0" w:line="240" w:lineRule="auto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Минтруда и соцразвития НСО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государственные (муниципальные)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организации социального обслуживания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Снижение доли вспомогательного персонала до 14,3% к 2030 году, снижение доли административно-управленческого персонала до 8,6%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2026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2030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12"/>
            <w:tcW w:w="14598" w:type="dxa"/>
            <w:textDirection w:val="lrTb"/>
            <w:noWrap w:val="false"/>
          </w:tcPr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Мероприятия, введенные с начала действия региональной дорожной карты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2.2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Актуализация штатных нормативов и организационных структур, перераспределение функций между работниками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afterAutospacing="0" w:line="240" w:lineRule="auto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Минтруда и соцразвития НСО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государственные (муниципальные)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организации социального обслуживания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Устранение недостатков в распределении нагрузки на работников и фонда оплаты труда, повышение доли основного персонала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2026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2030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7"/>
            <w:tcW w:w="8929" w:type="dxa"/>
            <w:textDirection w:val="lrTb"/>
            <w:noWrap w:val="false"/>
          </w:tcPr>
          <w:p>
            <w:pPr>
              <w:contextualSpacing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Итого финансовые затраты на реализацию раздела 2 «Оптимизация структуры организаций социального обслуживания» комплекса мероприятий региональной дорожной карты по повышению производительности труда в сфере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социального обслуживания (социальной защиты)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12"/>
            <w:tcW w:w="14598" w:type="dxa"/>
            <w:textDirection w:val="lrTb"/>
            <w:noWrap w:val="false"/>
          </w:tcPr>
          <w:p>
            <w:pPr>
              <w:pStyle w:val="929"/>
              <w:numPr>
                <w:ilvl w:val="0"/>
                <w:numId w:val="19"/>
              </w:numPr>
              <w:ind w:left="0"/>
              <w:jc w:val="center"/>
              <w:spacing w:after="0" w:afterAutospacing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Совершенствование регламентирующих документов (рационализация и стандартизация процессов)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12"/>
            <w:tcW w:w="14598" w:type="dxa"/>
            <w:textDirection w:val="lrTb"/>
            <w:noWrap w:val="false"/>
          </w:tcPr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Мероприятия, действующие в субъекте Российской Федерации до момента утверждения региональной дорожной карты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3.1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Инвентаризация основных и обеспечивающих процессов, выявление дублирующих и избыточных операций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afterAutospacing="0" w:line="240" w:lineRule="auto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Минтруда и соцразвития НСО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Перечень процессов, формирующих наибольшую нагрузку на работников, для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последующей рационализации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2026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2027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12"/>
            <w:tcW w:w="14598" w:type="dxa"/>
            <w:textDirection w:val="lrTb"/>
            <w:noWrap w:val="false"/>
          </w:tcPr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Мероприятия, введенные с начала действия региональной дорожной карты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3.2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Разработка и внедрение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технологии оказания трудоемких услуг и процессов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afterAutospacing="0" w:line="240" w:lineRule="auto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Минтруда и соцразвития НСО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Снижение трудозатрат и вариативности выполнения процессов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2027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2030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</w:tr>
      <w:tr>
        <w:tblPrEx/>
        <w:trPr/>
        <w:tc>
          <w:tcPr>
            <w:gridSpan w:val="7"/>
            <w:tcW w:w="8929" w:type="dxa"/>
            <w:textDirection w:val="lrTb"/>
            <w:noWrap w:val="false"/>
          </w:tcPr>
          <w:p>
            <w:pPr>
              <w:contextualSpacing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Итого финансовые затраты на реализацию раздела 3 «Совершенствование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регламентирующих документов (рационализация и стандартизация процессов)» комплекса мероприятий региональной дорожной карты по повышению производительности труда в сфере социального обслуживания (социальной защиты)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12"/>
            <w:tcW w:w="14598" w:type="dxa"/>
            <w:textDirection w:val="lrTb"/>
            <w:noWrap w:val="false"/>
          </w:tcPr>
          <w:p>
            <w:pPr>
              <w:pStyle w:val="929"/>
              <w:numPr>
                <w:ilvl w:val="0"/>
                <w:numId w:val="19"/>
              </w:numPr>
              <w:ind w:left="0"/>
              <w:jc w:val="center"/>
              <w:spacing w:after="0" w:afterAutospacing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Централизация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бухгалтерских, кадровых и закупочных функций в сети подведомственных организаций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12"/>
            <w:tcW w:w="14598" w:type="dxa"/>
            <w:textDirection w:val="lrTb"/>
            <w:noWrap w:val="false"/>
          </w:tcPr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Мероприятия, действующие в субъекте Российской Федерации до момента утверждения региональной дорожной карты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65"/>
        </w:trPr>
        <w:tc>
          <w:tcPr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4.1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Обеспечение функционирования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централизованной службы бухгалтерского учета государственных (муниципальных) организаций социального обслуживания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afterAutospacing="0" w:line="240" w:lineRule="auto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Минтруда и соцразвития НСО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  <w:p>
            <w:pPr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shd w:val="clear" w:color="auto" w:fill="auto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Снижение дублирования операций; доля организаций с централизованными б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none"/>
              </w:rPr>
              <w:t xml:space="preserve">ухга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none"/>
              </w:rPr>
              <w:t xml:space="preserve">лтерскими функц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none"/>
              </w:rPr>
              <w:t xml:space="preserve">иями — 28,6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none"/>
              </w:rPr>
              <w:t xml:space="preserve">% к 2030 году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2026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2030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12"/>
            <w:tcW w:w="14598" w:type="dxa"/>
            <w:textDirection w:val="lrTb"/>
            <w:noWrap w:val="false"/>
          </w:tcPr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Мероприятия, введенные с начала действия региональной дорожной карты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4.2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Анализ возможности централизации кадрового администрирования (распределение организаций по волнам вовлечения)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afterAutospacing="0" w:line="240" w:lineRule="auto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Минтруда и соцразвития НСО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Доля организаций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с ц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ентрализованными кадровыми функциями — до 98,5% к 2030 году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2026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2030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7"/>
            <w:tcW w:w="8929" w:type="dxa"/>
            <w:textDirection w:val="lrTb"/>
            <w:noWrap w:val="false"/>
          </w:tcPr>
          <w:p>
            <w:pPr>
              <w:contextualSpacing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Итого финансовые затраты на реализацию раздела 4 «Централизация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бухгалтерских, кадровых и закупочных функций в сети подведомственных организаций» комплекса мероприятий региональной дорожной карты по повышению производительности труда в сфере социального обслуживания (социальной защиты)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12"/>
            <w:tcW w:w="14598" w:type="dxa"/>
            <w:textDirection w:val="lrTb"/>
            <w:noWrap w:val="false"/>
          </w:tcPr>
          <w:p>
            <w:pPr>
              <w:pStyle w:val="929"/>
              <w:numPr>
                <w:ilvl w:val="0"/>
                <w:numId w:val="19"/>
              </w:numPr>
              <w:ind w:left="0"/>
              <w:jc w:val="center"/>
              <w:spacing w:after="0" w:afterAutospacing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Передача на внешнее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исполнение (аутсорсинг) отдельных вспомогательных функций,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br/>
              <w:t xml:space="preserve">не связанных непосредственно с предоставлением социальных услуг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12"/>
            <w:tcW w:w="14598" w:type="dxa"/>
            <w:textDirection w:val="lrTb"/>
            <w:noWrap w:val="false"/>
          </w:tcPr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Мероприятия, действующие в субъекте Российской Федерации до момента утверждения региональной дорожной карты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5.1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Инвентаризация обеспечивающих функций и оценка экономической целесообразности их передачи на внешнее исполнение (уборка, охрана, транспортное обслуживание, отдельные ИТ-сервисы)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afterAutospacing="0" w:line="240" w:lineRule="auto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Минтруда и соцразвития НСО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государственные (муниципальные)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организации социального обслуживания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Перечень вспомогательных функций, подлежащих передаче на аутсорсинг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2026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2027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12"/>
            <w:tcW w:w="14598" w:type="dxa"/>
            <w:textDirection w:val="lrTb"/>
            <w:noWrap w:val="false"/>
          </w:tcPr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Мероприятия, введенные с начала действия региональной дорожной карты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5.2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Рассмотрение целесообразности передачи на внешнее исполнение (аутсорсинг) отдельных вспомогательных функций при наличии экономической целесообразности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afterAutospacing="0" w:line="240" w:lineRule="auto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Минтруда и соцразвития НСО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государственные (муниципальные)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организации социального обслуживания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оля организаций, передавших на аутсорсинг не менее одной функции, — 85,0% к 2030 году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2027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2030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7"/>
            <w:tcW w:w="8929" w:type="dxa"/>
            <w:textDirection w:val="lrTb"/>
            <w:noWrap w:val="false"/>
          </w:tcPr>
          <w:p>
            <w:pPr>
              <w:contextualSpacing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Итого финансовые затраты на реализацию раздела 5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«Передача на внешнее исполнение (аутсорсинг) отдельных вспомогательных функций, не связанных непосредственно с предоставлением социальных услуг» комплекса мероприятий региональной дорожной карты по повышению производительности труда в сфере социального обс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луживания (социальной защиты)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12"/>
            <w:tcW w:w="14598" w:type="dxa"/>
            <w:textDirection w:val="lrTb"/>
            <w:noWrap w:val="false"/>
          </w:tcPr>
          <w:p>
            <w:pPr>
              <w:pStyle w:val="929"/>
              <w:numPr>
                <w:ilvl w:val="0"/>
                <w:numId w:val="19"/>
              </w:numPr>
              <w:ind w:left="0"/>
              <w:jc w:val="center"/>
              <w:spacing w:after="0" w:afterAutospacing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Внедрение цифровых решений для автоматизации основных и обеспечивающих процессов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12"/>
            <w:tcW w:w="14598" w:type="dxa"/>
            <w:textDirection w:val="lrTb"/>
            <w:noWrap w:val="false"/>
          </w:tcPr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Мероприятия, действующие в субъекте Российской Федерации до момента утверждения региональной дорожной карты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6.1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Использование государственных информационных систем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afterAutospacing="0" w:line="240" w:lineRule="auto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Минтруда и соцразвития НСО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государственные (муниципальные) 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организации социального обслуживания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Сокращение сроков обработки информации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2026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2030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12"/>
            <w:tcW w:w="14598" w:type="dxa"/>
            <w:textDirection w:val="lrTb"/>
            <w:noWrap w:val="false"/>
          </w:tcPr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Мероприятия, введенные с начала действия региональной дорожной карты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6.2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Внедрение цифровых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инструментов управления нагрузкой работников и маршрутизацией получателей социальных услуг (надомное обслуживание, система долговременного ухода)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afterAutospacing="0" w:line="240" w:lineRule="auto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Минтруда и соцразвития НСО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государственные (муниципальные)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организации социального обслуживания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Сн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ижение т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рудозатрат;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доля организаций с автоматизацией основных процессов — до 100% к 2030 году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2026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2030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–*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–*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–*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–*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–*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7"/>
            <w:tcW w:w="8929" w:type="dxa"/>
            <w:textDirection w:val="lrTb"/>
            <w:noWrap w:val="false"/>
          </w:tcPr>
          <w:p>
            <w:pPr>
              <w:contextualSpacing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Итого финансовые затраты на реализацию раздела 6 «Внедрение цифровых решений для автоматизации основных 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обеспечивающих процессов» комплекса мероприятий региональной дорожной карты по повышению производительности труда в сфере социального обслуживания (социальной защиты)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12"/>
            <w:tcW w:w="14598" w:type="dxa"/>
            <w:textDirection w:val="lrTb"/>
            <w:noWrap w:val="false"/>
          </w:tcPr>
          <w:p>
            <w:pPr>
              <w:pStyle w:val="929"/>
              <w:numPr>
                <w:ilvl w:val="0"/>
                <w:numId w:val="19"/>
              </w:numPr>
              <w:ind w:left="0"/>
              <w:jc w:val="center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Организация систематического обучения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руководителей и работников государственных (муниципальных) организаций социального обслуживания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r>
          </w:p>
          <w:p>
            <w:pPr>
              <w:ind w:left="0" w:firstLine="0"/>
              <w:jc w:val="center"/>
              <w:spacing w:after="0" w:afterAutospacing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инструментам повышения производительности труда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12"/>
            <w:tcW w:w="14598" w:type="dxa"/>
            <w:textDirection w:val="lrTb"/>
            <w:noWrap w:val="false"/>
          </w:tcPr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Мероприятия, действующие в субъекте Российской Федерации до момента утверждения региональной дорожной карты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7.1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Повышение квалификации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работников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 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руководителей по вопросам цифровых компетенций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и работы в государственных информационных системах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afterAutospacing="0" w:line="240" w:lineRule="auto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Минтруда и соцразвития НСО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организация,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осуществляющая обеспечивающие функции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Минтруда и соцразвития НСО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Рост цифровых компетенций персонала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2026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2030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–*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–*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–*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–*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–*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12"/>
            <w:tcW w:w="14598" w:type="dxa"/>
            <w:textDirection w:val="lrTb"/>
            <w:noWrap w:val="false"/>
          </w:tcPr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Мероприятия, введенные с начала действия региональной дорожной карты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7.2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Организация на региональном уровне систематического обучения инструментам повышения производительности труда и технологиям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«бережливого производства»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afterAutospacing="0" w:line="240" w:lineRule="auto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Минтруда и соцразвития НСО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  <w:p>
            <w:pPr>
              <w:jc w:val="left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Формирование устойчивых компетенций для внедрения организационных, процессных и цифровых изменений; развитие наставничества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2026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2030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7.3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Обеспечение практико-ориентированного обучения, увязанного с реализуемыми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мероприятиями региональной дорожной карты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afterAutospacing="0" w:line="240" w:lineRule="auto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Минтруда и соцразвития НСО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  <w:p>
            <w:pPr>
              <w:jc w:val="left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Применение полученных знаний в текущей деятельност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 организаций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2026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2030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7"/>
            <w:tcW w:w="8929" w:type="dxa"/>
            <w:textDirection w:val="lrTb"/>
            <w:noWrap w:val="false"/>
          </w:tcPr>
          <w:p>
            <w:pPr>
              <w:contextualSpacing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Итого финансовые затраты на реализацию раздела 7 «Организация систематического обучения руководителей и работников организаций инструментам повышения производительности труда» комплекса мероприятий региональной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дорожной карты по повышению производительности труда в сфере социального обслуживания (социальной защиты)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12"/>
            <w:tcW w:w="14598" w:type="dxa"/>
            <w:textDirection w:val="lrTb"/>
            <w:noWrap w:val="false"/>
          </w:tcPr>
          <w:p>
            <w:pPr>
              <w:pStyle w:val="929"/>
              <w:numPr>
                <w:ilvl w:val="0"/>
                <w:numId w:val="19"/>
              </w:numPr>
              <w:ind w:left="0"/>
              <w:jc w:val="center"/>
              <w:spacing w:after="0" w:afterAutospacing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Тиражирование лучших практик и «коробочных решений» в организациях, входящих в региональную дорожную карту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12"/>
            <w:tcW w:w="14598" w:type="dxa"/>
            <w:textDirection w:val="lrTb"/>
            <w:noWrap w:val="false"/>
          </w:tcPr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Мероприятия, введенные с начала действия региональной дорожной карты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8.1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Реализация проектов по повышению производительности труда в пилотных организациях социального обслуживания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afterAutospacing="0" w:line="240" w:lineRule="auto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Минтруда и соцразвития НСО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Апробированные организационные и процессные решения для последующего тиражирования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2026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2028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8.2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Поэтапное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тиражирование лучших практик и «коробочных решений», размещенных на онлайн-платформе «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производительность.рф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», с охватом организаций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afterAutospacing="0" w:line="240" w:lineRule="auto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Минтруда и соцразвития НСО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Вовлечение 100% государственных (муниципальных) организаций социального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 обслуживания, утвержденных министерством труда и социального развития Новосибирской области, в реализацию проектов по повышению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производительности труда к 2030 году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2026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2030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8.3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Методическое сопровождение тиражирования и сбор обратной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связи по итогам внедрения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afterAutospacing="0" w:line="240" w:lineRule="auto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Минтруда и соцразвития НСО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Адаптация решений к профилю организаций, устойчивое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масштабирование эффективных решений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2027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2030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7"/>
            <w:tcW w:w="8929" w:type="dxa"/>
            <w:textDirection w:val="lrTb"/>
            <w:noWrap w:val="false"/>
          </w:tcPr>
          <w:p>
            <w:pPr>
              <w:contextualSpacing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Итого финансовые затраты на реализацию раздела 8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«Тиражирование лучших практик и «коробочных решений» в организациях, входящих в региональную дорожную карту» комплекса мероприятий региональной дорожной карты по повышению производительности труда в сфере социального обслуживания (социальной защиты)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12"/>
            <w:tcW w:w="14598" w:type="dxa"/>
            <w:textDirection w:val="lrTb"/>
            <w:noWrap w:val="false"/>
          </w:tcPr>
          <w:p>
            <w:pPr>
              <w:pStyle w:val="929"/>
              <w:numPr>
                <w:ilvl w:val="0"/>
                <w:numId w:val="19"/>
              </w:numPr>
              <w:ind w:left="0"/>
              <w:jc w:val="center"/>
              <w:spacing w:after="0" w:afterAutospacing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Иные мероприятия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12"/>
            <w:tcW w:w="14598" w:type="dxa"/>
            <w:textDirection w:val="lrTb"/>
            <w:noWrap w:val="false"/>
          </w:tcPr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Мероприятия, действующие в субъекте Российской Федерации до момента утверждения региональной дорожной карты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9.1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Развитие системы долговременного ухода,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стационарозамещающих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полустационарных и надомных форм социального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обслуживания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afterAutospacing="0" w:line="240" w:lineRule="auto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Минтруда и соцразвития НСО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государственные (муниципальные)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организации социального обслуживания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Оптимизация использования кадровых ресурсов; увеличение охвата граждан социальными услугами без пропорционального роста штата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2026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2030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417 793,3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443 607,6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804 475,8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804 475,8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804 475,8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12"/>
            <w:tcW w:w="14598" w:type="dxa"/>
            <w:textDirection w:val="lrTb"/>
            <w:noWrap w:val="false"/>
          </w:tcPr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Мероприятия, введенные с начала действия региональной дорожной карты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9.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Организация мониторинга реализации региональной дорожной карты не реже одного раза в квартал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pacing w:after="0" w:afterAutospacing="0" w:line="240" w:lineRule="auto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Минтруда и соцразвития НСО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Оценка степени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достижения целевых значений показателей, достаточности и эффективности мероприятий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2026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2030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9.3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1842" w:type="dxa"/>
            <w:vMerge w:val="restart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Анализ отклонений установленных показателей региональной «дорожной карты» не реже одного раза в квартал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spacing w:after="0" w:afterAutospacing="0" w:line="240" w:lineRule="auto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Минтруда и соцразвития НСО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Принятие решений регламентирующих актуализацию «дорожной карты»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2026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2030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992"/>
        </w:trPr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9.4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842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/>
              <w:shd w:val="clear" w:color="auto" w:fill="auto"/>
              <w:rPr>
                <w:sz w:val="20"/>
                <w:szCs w:val="2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 xml:space="preserve">Развитие дистанционных технологий в социальной сфере для инвалидов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spacing w:after="0" w:afterAutospacing="0" w:line="240" w:lineRule="auto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Минтруда и соцразвития НСО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/>
              <w:shd w:val="clear" w:color="auto" w:fill="auto"/>
              <w:rPr>
                <w:sz w:val="20"/>
                <w:szCs w:val="2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 xml:space="preserve">Повышение доступности услуг в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 xml:space="preserve"> полустационарной форме, не требуя личного посещения учреждения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2026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2030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9.5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842" w:type="dxa"/>
            <w:vMerge w:val="restart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shd w:val="clear" w:color="auto" w:fill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none"/>
              </w:rPr>
              <w:t xml:space="preserve">Открытие методических центров на б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none"/>
              </w:rPr>
              <w:t xml:space="preserve">азе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none"/>
              </w:rPr>
              <w:t xml:space="preserve">комплексных центров социального обслуживания населения для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none"/>
              </w:rPr>
              <w:t xml:space="preserve">помощи специалистам, оказывающим социальны услуги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spacing w:after="0" w:afterAutospacing="0" w:line="240" w:lineRule="auto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Минтруда и соцразвития НСО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/>
              <w:shd w:val="clear" w:color="auto" w:fill="auto"/>
              <w:rPr>
                <w:sz w:val="20"/>
                <w:szCs w:val="2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 xml:space="preserve">Повышение профессионального уровня специалистов и качества предоставления социальных услуг; методическое сопровождение, поддержка работников, разработка методических материалов, внедрение инноваций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 xml:space="preserve"> и контроля качества работы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2026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2030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9.6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842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/>
              <w:shd w:val="clear" w:color="auto" w:fill="auto"/>
              <w:rPr>
                <w:sz w:val="20"/>
                <w:szCs w:val="2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 xml:space="preserve">Мониторинг активных услуг и форм социального обслуживания, а также своевременная перенастройка учреждений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spacing w:after="0" w:afterAutospacing="0" w:line="240" w:lineRule="auto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Минтруда и соцразвития НСО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/>
              <w:shd w:val="clear" w:color="auto" w:fill="auto"/>
              <w:rPr>
                <w:sz w:val="20"/>
                <w:szCs w:val="2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 xml:space="preserve">Анализ состояния социального обслуживания; корректировка работы учреждений 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2026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2030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7"/>
            <w:tcW w:w="8929" w:type="dxa"/>
            <w:textDirection w:val="lrTb"/>
            <w:noWrap w:val="false"/>
          </w:tcPr>
          <w:p>
            <w:pPr>
              <w:contextualSpacing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Итого финансовые затраты на реализацию раздела 9 «Иные мероприятия» комплекса мероприятий региональной дорожной карты по повышению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производительности труда в сфере социального обслуживания (социальной защиты)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417 793,3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443 607,6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804 475,8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804 475,8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804 475,8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7"/>
            <w:tcW w:w="8929" w:type="dxa"/>
            <w:textDirection w:val="lrTb"/>
            <w:noWrap w:val="false"/>
          </w:tcPr>
          <w:p>
            <w:pPr>
              <w:contextualSpacing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ВСЕГО финансовые затраты на реализацию комплекса мероприятий региональной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contextualSpacing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дорожной карты в разбивке по источникам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550 128,4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559 748,2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960 616,4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960 616,4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960 616,4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</w:tbl>
    <w:p>
      <w:pPr>
        <w:spacing w:after="0" w:afterAutospacing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 xml:space="preserve">*– финансовое обеспечение осуществляется за счет текущего финансирования деятельности 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государственных (муниципальных) 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организаций социального обслуживания.</w:t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pStyle w:val="928"/>
        <w:ind w:firstLine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ind w:firstLine="0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  <w:t xml:space="preserve">____________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w="16838" w:h="11906" w:orient="landscape"/>
      <w:pgMar w:top="1417" w:right="1134" w:bottom="567" w:left="113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8"/>
      <w:jc w:val="center"/>
      <w:rPr>
        <w:rFonts w:ascii="Times New Roman" w:hAnsi="Times New Roman" w:cs="Times New Roman"/>
        <w:sz w:val="20"/>
        <w:szCs w:val="20"/>
      </w:rPr>
    </w:pPr>
    <w:fldSimple w:instr="PAGE \* MERGEFORMAT">
      <w:r>
        <w:rPr>
          <w:rFonts w:ascii="Times New Roman" w:hAnsi="Times New Roman" w:eastAsia="Times New Roman" w:cs="Times New Roman"/>
          <w:sz w:val="20"/>
          <w:szCs w:val="20"/>
        </w:rPr>
        <w:t xml:space="preserve">1</w:t>
      </w:r>
    </w:fldSimple>
    <w:r>
      <w:rPr>
        <w:rFonts w:ascii="Times New Roman" w:hAnsi="Times New Roman" w:eastAsia="Times New Roman" w:cs="Times New Roman"/>
        <w:sz w:val="20"/>
        <w:szCs w:val="20"/>
      </w:rPr>
    </w:r>
    <w:r>
      <w:rPr>
        <w:rFonts w:ascii="Times New Roman" w:hAnsi="Times New Roman" w:cs="Times New Roman"/>
        <w:sz w:val="20"/>
        <w:szCs w:val="20"/>
      </w:rPr>
    </w:r>
    <w:r>
      <w:rPr>
        <w:rFonts w:ascii="Times New Roman" w:hAnsi="Times New Roman" w:cs="Times New Roman"/>
        <w:sz w:val="20"/>
        <w:szCs w:val="20"/>
      </w:rPr>
    </w:r>
  </w:p>
  <w:p>
    <w:pPr>
      <w:pStyle w:val="778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Arial" w:hAnsi="Arial" w:eastAsia="Arial" w:cs="Arial"/>
        <w:color w:val="333333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Arial" w:hAnsi="Arial" w:eastAsia="Arial" w:cs="Arial"/>
        <w:color w:val="000000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firstLine="0"/>
      </w:pPr>
      <w:rPr>
        <w:color w:val="000000"/>
        <w:spacing w:val="0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2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3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4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5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6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7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8">
      <w:start w:val="1"/>
      <w:numFmt w:val="decimal"/>
      <w:isLgl w:val="false"/>
      <w:suff w:val="tab"/>
      <w:lvlText w:val=""/>
      <w:lvlJc w:val="left"/>
      <w:pPr>
        <w:ind w:left="0" w:firstLine="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Arial" w:hAnsi="Arial" w:eastAsia="Arial" w:cs="Arial"/>
        <w:color w:val="000000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1"/>
  </w:num>
  <w:num w:numId="4">
    <w:abstractNumId w:val="9"/>
  </w:num>
  <w:num w:numId="5">
    <w:abstractNumId w:val="2"/>
  </w:num>
  <w:num w:numId="6">
    <w:abstractNumId w:val="1"/>
  </w:num>
  <w:num w:numId="7">
    <w:abstractNumId w:val="7"/>
  </w:num>
  <w:num w:numId="8">
    <w:abstractNumId w:val="5"/>
  </w:num>
  <w:num w:numId="9">
    <w:abstractNumId w:val="0"/>
  </w:num>
  <w:num w:numId="10">
    <w:abstractNumId w:val="8"/>
  </w:num>
  <w:num w:numId="11">
    <w:abstractNumId w:val="3"/>
  </w:num>
  <w:num w:numId="12">
    <w:abstractNumId w:val="10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1" w:default="1">
    <w:name w:val="Normal"/>
    <w:qFormat/>
  </w:style>
  <w:style w:type="paragraph" w:styleId="732">
    <w:name w:val="Heading 1"/>
    <w:basedOn w:val="731"/>
    <w:next w:val="731"/>
    <w:link w:val="761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733">
    <w:name w:val="Heading 2"/>
    <w:basedOn w:val="731"/>
    <w:next w:val="731"/>
    <w:link w:val="762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734">
    <w:name w:val="Heading 3"/>
    <w:basedOn w:val="731"/>
    <w:next w:val="731"/>
    <w:link w:val="763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735">
    <w:name w:val="Heading 4"/>
    <w:basedOn w:val="731"/>
    <w:next w:val="731"/>
    <w:link w:val="764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36">
    <w:name w:val="Heading 5"/>
    <w:basedOn w:val="731"/>
    <w:next w:val="731"/>
    <w:link w:val="765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37">
    <w:name w:val="Heading 6"/>
    <w:basedOn w:val="731"/>
    <w:next w:val="731"/>
    <w:link w:val="766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738">
    <w:name w:val="Heading 7"/>
    <w:basedOn w:val="731"/>
    <w:next w:val="731"/>
    <w:link w:val="767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739">
    <w:name w:val="Heading 8"/>
    <w:basedOn w:val="731"/>
    <w:next w:val="731"/>
    <w:link w:val="768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740">
    <w:name w:val="Heading 9"/>
    <w:basedOn w:val="731"/>
    <w:next w:val="731"/>
    <w:link w:val="769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1" w:default="1">
    <w:name w:val="Default Paragraph Font"/>
    <w:uiPriority w:val="1"/>
    <w:semiHidden/>
    <w:unhideWhenUsed/>
  </w:style>
  <w:style w:type="table" w:styleId="74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43" w:default="1">
    <w:name w:val="No List"/>
    <w:uiPriority w:val="99"/>
    <w:semiHidden/>
    <w:unhideWhenUsed/>
  </w:style>
  <w:style w:type="character" w:styleId="744" w:customStyle="1">
    <w:name w:val="Heading 1 Char"/>
    <w:basedOn w:val="741"/>
    <w:uiPriority w:val="9"/>
    <w:rPr>
      <w:rFonts w:ascii="Arial" w:hAnsi="Arial" w:eastAsia="Arial" w:cs="Arial"/>
      <w:sz w:val="40"/>
      <w:szCs w:val="40"/>
    </w:rPr>
  </w:style>
  <w:style w:type="character" w:styleId="745" w:customStyle="1">
    <w:name w:val="Heading 2 Char"/>
    <w:basedOn w:val="741"/>
    <w:uiPriority w:val="9"/>
    <w:rPr>
      <w:rFonts w:ascii="Arial" w:hAnsi="Arial" w:eastAsia="Arial" w:cs="Arial"/>
      <w:sz w:val="34"/>
    </w:rPr>
  </w:style>
  <w:style w:type="character" w:styleId="746" w:customStyle="1">
    <w:name w:val="Heading 3 Char"/>
    <w:basedOn w:val="741"/>
    <w:uiPriority w:val="9"/>
    <w:rPr>
      <w:rFonts w:ascii="Arial" w:hAnsi="Arial" w:eastAsia="Arial" w:cs="Arial"/>
      <w:sz w:val="30"/>
      <w:szCs w:val="30"/>
    </w:rPr>
  </w:style>
  <w:style w:type="character" w:styleId="747" w:customStyle="1">
    <w:name w:val="Heading 4 Char"/>
    <w:basedOn w:val="741"/>
    <w:uiPriority w:val="9"/>
    <w:rPr>
      <w:rFonts w:ascii="Arial" w:hAnsi="Arial" w:eastAsia="Arial" w:cs="Arial"/>
      <w:b/>
      <w:bCs/>
      <w:sz w:val="26"/>
      <w:szCs w:val="26"/>
    </w:rPr>
  </w:style>
  <w:style w:type="character" w:styleId="748" w:customStyle="1">
    <w:name w:val="Heading 5 Char"/>
    <w:basedOn w:val="741"/>
    <w:uiPriority w:val="9"/>
    <w:rPr>
      <w:rFonts w:ascii="Arial" w:hAnsi="Arial" w:eastAsia="Arial" w:cs="Arial"/>
      <w:b/>
      <w:bCs/>
      <w:sz w:val="24"/>
      <w:szCs w:val="24"/>
    </w:rPr>
  </w:style>
  <w:style w:type="character" w:styleId="749" w:customStyle="1">
    <w:name w:val="Heading 6 Char"/>
    <w:basedOn w:val="741"/>
    <w:uiPriority w:val="9"/>
    <w:rPr>
      <w:rFonts w:ascii="Arial" w:hAnsi="Arial" w:eastAsia="Arial" w:cs="Arial"/>
      <w:b/>
      <w:bCs/>
      <w:sz w:val="22"/>
      <w:szCs w:val="22"/>
    </w:rPr>
  </w:style>
  <w:style w:type="character" w:styleId="750" w:customStyle="1">
    <w:name w:val="Heading 7 Char"/>
    <w:basedOn w:val="74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51" w:customStyle="1">
    <w:name w:val="Heading 8 Char"/>
    <w:basedOn w:val="741"/>
    <w:uiPriority w:val="9"/>
    <w:rPr>
      <w:rFonts w:ascii="Arial" w:hAnsi="Arial" w:eastAsia="Arial" w:cs="Arial"/>
      <w:i/>
      <w:iCs/>
      <w:sz w:val="22"/>
      <w:szCs w:val="22"/>
    </w:rPr>
  </w:style>
  <w:style w:type="character" w:styleId="752" w:customStyle="1">
    <w:name w:val="Heading 9 Char"/>
    <w:basedOn w:val="741"/>
    <w:uiPriority w:val="9"/>
    <w:rPr>
      <w:rFonts w:ascii="Arial" w:hAnsi="Arial" w:eastAsia="Arial" w:cs="Arial"/>
      <w:i/>
      <w:iCs/>
      <w:sz w:val="21"/>
      <w:szCs w:val="21"/>
    </w:rPr>
  </w:style>
  <w:style w:type="character" w:styleId="753" w:customStyle="1">
    <w:name w:val="Title Char"/>
    <w:basedOn w:val="741"/>
    <w:uiPriority w:val="10"/>
    <w:rPr>
      <w:sz w:val="48"/>
      <w:szCs w:val="48"/>
    </w:rPr>
  </w:style>
  <w:style w:type="character" w:styleId="754" w:customStyle="1">
    <w:name w:val="Subtitle Char"/>
    <w:basedOn w:val="741"/>
    <w:uiPriority w:val="11"/>
    <w:rPr>
      <w:sz w:val="24"/>
      <w:szCs w:val="24"/>
    </w:rPr>
  </w:style>
  <w:style w:type="character" w:styleId="755" w:customStyle="1">
    <w:name w:val="Quote Char"/>
    <w:uiPriority w:val="29"/>
    <w:rPr>
      <w:i/>
    </w:rPr>
  </w:style>
  <w:style w:type="character" w:styleId="756" w:customStyle="1">
    <w:name w:val="Intense Quote Char"/>
    <w:uiPriority w:val="30"/>
    <w:rPr>
      <w:i/>
    </w:rPr>
  </w:style>
  <w:style w:type="character" w:styleId="757" w:customStyle="1">
    <w:name w:val="Header Char"/>
    <w:basedOn w:val="741"/>
    <w:uiPriority w:val="99"/>
  </w:style>
  <w:style w:type="character" w:styleId="758" w:customStyle="1">
    <w:name w:val="Caption Char"/>
    <w:uiPriority w:val="99"/>
  </w:style>
  <w:style w:type="character" w:styleId="759" w:customStyle="1">
    <w:name w:val="Footnote Text Char"/>
    <w:uiPriority w:val="99"/>
    <w:rPr>
      <w:sz w:val="18"/>
    </w:rPr>
  </w:style>
  <w:style w:type="character" w:styleId="760" w:customStyle="1">
    <w:name w:val="Endnote Text Char"/>
    <w:uiPriority w:val="99"/>
    <w:rPr>
      <w:sz w:val="20"/>
    </w:rPr>
  </w:style>
  <w:style w:type="character" w:styleId="761" w:customStyle="1">
    <w:name w:val="Заголовок 1 Знак"/>
    <w:link w:val="732"/>
    <w:uiPriority w:val="9"/>
    <w:rPr>
      <w:rFonts w:ascii="Arial" w:hAnsi="Arial" w:eastAsia="Arial" w:cs="Arial"/>
      <w:sz w:val="40"/>
      <w:szCs w:val="40"/>
    </w:rPr>
  </w:style>
  <w:style w:type="character" w:styleId="762" w:customStyle="1">
    <w:name w:val="Заголовок 2 Знак"/>
    <w:link w:val="733"/>
    <w:uiPriority w:val="9"/>
    <w:rPr>
      <w:rFonts w:ascii="Arial" w:hAnsi="Arial" w:eastAsia="Arial" w:cs="Arial"/>
      <w:sz w:val="34"/>
    </w:rPr>
  </w:style>
  <w:style w:type="character" w:styleId="763" w:customStyle="1">
    <w:name w:val="Заголовок 3 Знак"/>
    <w:link w:val="734"/>
    <w:uiPriority w:val="9"/>
    <w:rPr>
      <w:rFonts w:ascii="Arial" w:hAnsi="Arial" w:eastAsia="Arial" w:cs="Arial"/>
      <w:sz w:val="30"/>
      <w:szCs w:val="30"/>
    </w:rPr>
  </w:style>
  <w:style w:type="character" w:styleId="764" w:customStyle="1">
    <w:name w:val="Заголовок 4 Знак"/>
    <w:link w:val="735"/>
    <w:uiPriority w:val="9"/>
    <w:rPr>
      <w:rFonts w:ascii="Arial" w:hAnsi="Arial" w:eastAsia="Arial" w:cs="Arial"/>
      <w:b/>
      <w:bCs/>
      <w:sz w:val="26"/>
      <w:szCs w:val="26"/>
    </w:rPr>
  </w:style>
  <w:style w:type="character" w:styleId="765" w:customStyle="1">
    <w:name w:val="Заголовок 5 Знак"/>
    <w:link w:val="736"/>
    <w:uiPriority w:val="9"/>
    <w:rPr>
      <w:rFonts w:ascii="Arial" w:hAnsi="Arial" w:eastAsia="Arial" w:cs="Arial"/>
      <w:b/>
      <w:bCs/>
      <w:sz w:val="24"/>
      <w:szCs w:val="24"/>
    </w:rPr>
  </w:style>
  <w:style w:type="character" w:styleId="766" w:customStyle="1">
    <w:name w:val="Заголовок 6 Знак"/>
    <w:link w:val="737"/>
    <w:uiPriority w:val="9"/>
    <w:rPr>
      <w:rFonts w:ascii="Arial" w:hAnsi="Arial" w:eastAsia="Arial" w:cs="Arial"/>
      <w:b/>
      <w:bCs/>
      <w:sz w:val="22"/>
      <w:szCs w:val="22"/>
    </w:rPr>
  </w:style>
  <w:style w:type="character" w:styleId="767" w:customStyle="1">
    <w:name w:val="Заголовок 7 Знак"/>
    <w:link w:val="73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68" w:customStyle="1">
    <w:name w:val="Заголовок 8 Знак"/>
    <w:link w:val="739"/>
    <w:uiPriority w:val="9"/>
    <w:rPr>
      <w:rFonts w:ascii="Arial" w:hAnsi="Arial" w:eastAsia="Arial" w:cs="Arial"/>
      <w:i/>
      <w:iCs/>
      <w:sz w:val="22"/>
      <w:szCs w:val="22"/>
    </w:rPr>
  </w:style>
  <w:style w:type="character" w:styleId="769" w:customStyle="1">
    <w:name w:val="Заголовок 9 Знак"/>
    <w:link w:val="740"/>
    <w:uiPriority w:val="9"/>
    <w:rPr>
      <w:rFonts w:ascii="Arial" w:hAnsi="Arial" w:eastAsia="Arial" w:cs="Arial"/>
      <w:i/>
      <w:iCs/>
      <w:sz w:val="21"/>
      <w:szCs w:val="21"/>
    </w:rPr>
  </w:style>
  <w:style w:type="paragraph" w:styleId="770">
    <w:name w:val="Title"/>
    <w:basedOn w:val="731"/>
    <w:next w:val="731"/>
    <w:link w:val="771"/>
    <w:uiPriority w:val="10"/>
    <w:qFormat/>
    <w:pPr>
      <w:contextualSpacing/>
      <w:spacing w:before="300"/>
    </w:pPr>
    <w:rPr>
      <w:sz w:val="48"/>
      <w:szCs w:val="48"/>
    </w:rPr>
  </w:style>
  <w:style w:type="character" w:styleId="771" w:customStyle="1">
    <w:name w:val="Название Знак"/>
    <w:link w:val="770"/>
    <w:uiPriority w:val="10"/>
    <w:rPr>
      <w:sz w:val="48"/>
      <w:szCs w:val="48"/>
    </w:rPr>
  </w:style>
  <w:style w:type="paragraph" w:styleId="772">
    <w:name w:val="Subtitle"/>
    <w:basedOn w:val="731"/>
    <w:next w:val="731"/>
    <w:link w:val="773"/>
    <w:uiPriority w:val="11"/>
    <w:qFormat/>
    <w:pPr>
      <w:spacing w:before="200"/>
    </w:pPr>
    <w:rPr>
      <w:sz w:val="24"/>
      <w:szCs w:val="24"/>
    </w:rPr>
  </w:style>
  <w:style w:type="character" w:styleId="773" w:customStyle="1">
    <w:name w:val="Подзаголовок Знак"/>
    <w:link w:val="772"/>
    <w:uiPriority w:val="11"/>
    <w:rPr>
      <w:sz w:val="24"/>
      <w:szCs w:val="24"/>
    </w:rPr>
  </w:style>
  <w:style w:type="paragraph" w:styleId="774">
    <w:name w:val="Quote"/>
    <w:basedOn w:val="731"/>
    <w:next w:val="731"/>
    <w:link w:val="775"/>
    <w:uiPriority w:val="29"/>
    <w:qFormat/>
    <w:pPr>
      <w:ind w:left="720" w:right="720"/>
    </w:pPr>
    <w:rPr>
      <w:i/>
    </w:rPr>
  </w:style>
  <w:style w:type="character" w:styleId="775" w:customStyle="1">
    <w:name w:val="Цитата 2 Знак"/>
    <w:link w:val="774"/>
    <w:uiPriority w:val="29"/>
    <w:rPr>
      <w:i/>
    </w:rPr>
  </w:style>
  <w:style w:type="paragraph" w:styleId="776">
    <w:name w:val="Intense Quote"/>
    <w:basedOn w:val="731"/>
    <w:next w:val="731"/>
    <w:link w:val="77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7" w:customStyle="1">
    <w:name w:val="Выделенная цитата Знак"/>
    <w:link w:val="776"/>
    <w:uiPriority w:val="30"/>
    <w:rPr>
      <w:i/>
    </w:rPr>
  </w:style>
  <w:style w:type="paragraph" w:styleId="778">
    <w:name w:val="Header"/>
    <w:basedOn w:val="731"/>
    <w:link w:val="77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79" w:customStyle="1">
    <w:name w:val="Верхний колонтитул Знак"/>
    <w:link w:val="778"/>
    <w:uiPriority w:val="99"/>
  </w:style>
  <w:style w:type="paragraph" w:styleId="780">
    <w:name w:val="Footer"/>
    <w:basedOn w:val="731"/>
    <w:link w:val="7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81" w:customStyle="1">
    <w:name w:val="Footer Char"/>
    <w:uiPriority w:val="99"/>
  </w:style>
  <w:style w:type="paragraph" w:styleId="782">
    <w:name w:val="Caption"/>
    <w:basedOn w:val="731"/>
    <w:next w:val="731"/>
    <w:link w:val="758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styleId="783" w:customStyle="1">
    <w:name w:val="Нижний колонтитул Знак"/>
    <w:link w:val="780"/>
    <w:uiPriority w:val="99"/>
  </w:style>
  <w:style w:type="table" w:styleId="784">
    <w:name w:val="Table Grid"/>
    <w:basedOn w:val="74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5" w:customStyle="1">
    <w:name w:val="Table Grid Light"/>
    <w:basedOn w:val="742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6">
    <w:name w:val="Plain Table 1"/>
    <w:basedOn w:val="742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7">
    <w:name w:val="Plain Table 2"/>
    <w:basedOn w:val="74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8">
    <w:name w:val="Plain Table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9">
    <w:name w:val="Plain Table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Plain Table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1">
    <w:name w:val="Grid Table 1 Light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Grid Table 1 Light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Grid Table 1 Light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Grid Table 1 Light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Grid Table 1 Light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Grid Table 1 Light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Grid Table 1 Light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Grid Table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2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2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2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Grid Table 2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Grid Table 2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Grid Table 2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Grid Table 3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Grid Table 3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Grid Table 3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Grid Table 3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Grid Table 3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Grid Table 3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4"/>
    <w:basedOn w:val="7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3" w:customStyle="1">
    <w:name w:val="Grid Table 4 - Accent 1"/>
    <w:basedOn w:val="7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814" w:customStyle="1">
    <w:name w:val="Grid Table 4 - Accent 2"/>
    <w:basedOn w:val="7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15" w:customStyle="1">
    <w:name w:val="Grid Table 4 - Accent 3"/>
    <w:basedOn w:val="7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16" w:customStyle="1">
    <w:name w:val="Grid Table 4 - Accent 4"/>
    <w:basedOn w:val="7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17" w:customStyle="1">
    <w:name w:val="Grid Table 4 - Accent 5"/>
    <w:basedOn w:val="7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818" w:customStyle="1">
    <w:name w:val="Grid Table 4 - Accent 6"/>
    <w:basedOn w:val="7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19">
    <w:name w:val="Grid Table 5 Dark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20" w:customStyle="1">
    <w:name w:val="Grid Table 5 Dark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821" w:customStyle="1">
    <w:name w:val="Grid Table 5 Dark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22" w:customStyle="1">
    <w:name w:val="Grid Table 5 Dark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23" w:customStyle="1">
    <w:name w:val="Grid Table 5 Dark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24" w:customStyle="1">
    <w:name w:val="Grid Table 5 Dark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825" w:customStyle="1">
    <w:name w:val="Grid Table 5 Dark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26">
    <w:name w:val="Grid Table 6 Colorful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27" w:customStyle="1">
    <w:name w:val="Grid Table 6 Colorful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28" w:customStyle="1">
    <w:name w:val="Grid Table 6 Colorful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29" w:customStyle="1">
    <w:name w:val="Grid Table 6 Colorful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30" w:customStyle="1">
    <w:name w:val="Grid Table 6 Colorful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31" w:customStyle="1">
    <w:name w:val="Grid Table 6 Colorful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32" w:customStyle="1">
    <w:name w:val="Grid Table 6 Colorful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33">
    <w:name w:val="Grid Table 7 Colorful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Grid Table 7 Colorful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Grid Table 7 Colorful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Grid Table 7 Colorful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Grid Table 7 Colorful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Grid Table 7 Colorful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Grid Table 7 Colorful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List Table 1 Light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List Table 1 Light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List Table 1 Light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1 Light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st Table 1 Light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1 Light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1 Light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List Table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48" w:customStyle="1">
    <w:name w:val="List Table 2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49" w:customStyle="1">
    <w:name w:val="List Table 2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50" w:customStyle="1">
    <w:name w:val="List Table 2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51" w:customStyle="1">
    <w:name w:val="List Table 2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52" w:customStyle="1">
    <w:name w:val="List Table 2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53" w:customStyle="1">
    <w:name w:val="List Table 2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54">
    <w:name w:val="List Table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 w:customStyle="1">
    <w:name w:val="List Table 3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 w:customStyle="1">
    <w:name w:val="List Table 3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 w:customStyle="1">
    <w:name w:val="List Table 3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 w:customStyle="1">
    <w:name w:val="List Table 3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 w:customStyle="1">
    <w:name w:val="List Table 3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 w:customStyle="1">
    <w:name w:val="List Table 3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 w:customStyle="1">
    <w:name w:val="List Table 4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 w:customStyle="1">
    <w:name w:val="List Table 4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 w:customStyle="1">
    <w:name w:val="List Table 4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 w:customStyle="1">
    <w:name w:val="List Table 4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 w:customStyle="1">
    <w:name w:val="List Table 4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 w:customStyle="1">
    <w:name w:val="List Table 4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5 Dark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9" w:customStyle="1">
    <w:name w:val="List Table 5 Dark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0" w:customStyle="1">
    <w:name w:val="List Table 5 Dark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1" w:customStyle="1">
    <w:name w:val="List Table 5 Dark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2" w:customStyle="1">
    <w:name w:val="List Table 5 Dark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3" w:customStyle="1">
    <w:name w:val="List Table 5 Dark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4" w:customStyle="1">
    <w:name w:val="List Table 5 Dark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5">
    <w:name w:val="List Table 6 Colorful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76" w:customStyle="1">
    <w:name w:val="List Table 6 Colorful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77" w:customStyle="1">
    <w:name w:val="List Table 6 Colorful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78" w:customStyle="1">
    <w:name w:val="List Table 6 Colorful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79" w:customStyle="1">
    <w:name w:val="List Table 6 Colorful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80" w:customStyle="1">
    <w:name w:val="List Table 6 Colorful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81" w:customStyle="1">
    <w:name w:val="List Table 6 Colorful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82">
    <w:name w:val="List Table 7 Colorful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 w:customStyle="1">
    <w:name w:val="List Table 7 Colorful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 w:customStyle="1">
    <w:name w:val="List Table 7 Colorful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 w:customStyle="1">
    <w:name w:val="List Table 7 Colorful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 w:customStyle="1">
    <w:name w:val="List Table 7 Colorful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 w:customStyle="1">
    <w:name w:val="List Table 7 Colorful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 w:customStyle="1">
    <w:name w:val="List Table 7 Colorful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 w:customStyle="1">
    <w:name w:val="Lined - Accent"/>
    <w:basedOn w:val="74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90" w:customStyle="1">
    <w:name w:val="Lined - Accent 1"/>
    <w:basedOn w:val="74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91" w:customStyle="1">
    <w:name w:val="Lined - Accent 2"/>
    <w:basedOn w:val="74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92" w:customStyle="1">
    <w:name w:val="Lined - Accent 3"/>
    <w:basedOn w:val="74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93" w:customStyle="1">
    <w:name w:val="Lined - Accent 4"/>
    <w:basedOn w:val="74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94" w:customStyle="1">
    <w:name w:val="Lined - Accent 5"/>
    <w:basedOn w:val="74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95" w:customStyle="1">
    <w:name w:val="Lined - Accent 6"/>
    <w:basedOn w:val="74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96" w:customStyle="1">
    <w:name w:val="Bordered &amp; Lined - Accent"/>
    <w:basedOn w:val="74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97" w:customStyle="1">
    <w:name w:val="Bordered &amp; Lined - Accent 1"/>
    <w:basedOn w:val="74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98" w:customStyle="1">
    <w:name w:val="Bordered &amp; Lined - Accent 2"/>
    <w:basedOn w:val="74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99" w:customStyle="1">
    <w:name w:val="Bordered &amp; Lined - Accent 3"/>
    <w:basedOn w:val="74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00" w:customStyle="1">
    <w:name w:val="Bordered &amp; Lined - Accent 4"/>
    <w:basedOn w:val="74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01" w:customStyle="1">
    <w:name w:val="Bordered &amp; Lined - Accent 5"/>
    <w:basedOn w:val="74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902" w:customStyle="1">
    <w:name w:val="Bordered &amp; Lined - Accent 6"/>
    <w:basedOn w:val="74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03" w:customStyle="1">
    <w:name w:val="Bordered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04" w:customStyle="1">
    <w:name w:val="Bordered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905" w:customStyle="1">
    <w:name w:val="Bordered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906" w:customStyle="1">
    <w:name w:val="Bordered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907" w:customStyle="1">
    <w:name w:val="Bordered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908" w:customStyle="1">
    <w:name w:val="Bordered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909" w:customStyle="1">
    <w:name w:val="Bordered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910">
    <w:name w:val="Hyperlink"/>
    <w:uiPriority w:val="99"/>
    <w:unhideWhenUsed/>
    <w:rPr>
      <w:color w:val="0563c1" w:themeColor="hyperlink"/>
      <w:u w:val="single"/>
    </w:rPr>
  </w:style>
  <w:style w:type="paragraph" w:styleId="911">
    <w:name w:val="footnote text"/>
    <w:basedOn w:val="731"/>
    <w:link w:val="912"/>
    <w:uiPriority w:val="99"/>
    <w:semiHidden/>
    <w:unhideWhenUsed/>
    <w:pPr>
      <w:spacing w:after="40" w:line="240" w:lineRule="auto"/>
    </w:pPr>
    <w:rPr>
      <w:sz w:val="18"/>
    </w:rPr>
  </w:style>
  <w:style w:type="character" w:styleId="912" w:customStyle="1">
    <w:name w:val="Текст сноски Знак"/>
    <w:link w:val="911"/>
    <w:uiPriority w:val="99"/>
    <w:rPr>
      <w:sz w:val="18"/>
    </w:rPr>
  </w:style>
  <w:style w:type="character" w:styleId="913">
    <w:name w:val="footnote reference"/>
    <w:uiPriority w:val="99"/>
    <w:unhideWhenUsed/>
    <w:rPr>
      <w:vertAlign w:val="superscript"/>
    </w:rPr>
  </w:style>
  <w:style w:type="paragraph" w:styleId="914">
    <w:name w:val="endnote text"/>
    <w:basedOn w:val="731"/>
    <w:link w:val="915"/>
    <w:uiPriority w:val="99"/>
    <w:semiHidden/>
    <w:unhideWhenUsed/>
    <w:pPr>
      <w:spacing w:after="0" w:line="240" w:lineRule="auto"/>
    </w:pPr>
    <w:rPr>
      <w:sz w:val="20"/>
    </w:rPr>
  </w:style>
  <w:style w:type="character" w:styleId="915" w:customStyle="1">
    <w:name w:val="Текст концевой сноски Знак"/>
    <w:link w:val="914"/>
    <w:uiPriority w:val="99"/>
    <w:rPr>
      <w:sz w:val="20"/>
    </w:rPr>
  </w:style>
  <w:style w:type="character" w:styleId="916">
    <w:name w:val="endnote reference"/>
    <w:uiPriority w:val="99"/>
    <w:semiHidden/>
    <w:unhideWhenUsed/>
    <w:rPr>
      <w:vertAlign w:val="superscript"/>
    </w:rPr>
  </w:style>
  <w:style w:type="paragraph" w:styleId="917">
    <w:name w:val="toc 1"/>
    <w:basedOn w:val="731"/>
    <w:next w:val="731"/>
    <w:uiPriority w:val="39"/>
    <w:unhideWhenUsed/>
    <w:pPr>
      <w:spacing w:after="57"/>
    </w:pPr>
  </w:style>
  <w:style w:type="paragraph" w:styleId="918">
    <w:name w:val="toc 2"/>
    <w:basedOn w:val="731"/>
    <w:next w:val="731"/>
    <w:uiPriority w:val="39"/>
    <w:unhideWhenUsed/>
    <w:pPr>
      <w:ind w:left="283"/>
      <w:spacing w:after="57"/>
    </w:pPr>
  </w:style>
  <w:style w:type="paragraph" w:styleId="919">
    <w:name w:val="toc 3"/>
    <w:basedOn w:val="731"/>
    <w:next w:val="731"/>
    <w:uiPriority w:val="39"/>
    <w:unhideWhenUsed/>
    <w:pPr>
      <w:ind w:left="567"/>
      <w:spacing w:after="57"/>
    </w:pPr>
  </w:style>
  <w:style w:type="paragraph" w:styleId="920">
    <w:name w:val="toc 4"/>
    <w:basedOn w:val="731"/>
    <w:next w:val="731"/>
    <w:uiPriority w:val="39"/>
    <w:unhideWhenUsed/>
    <w:pPr>
      <w:ind w:left="850"/>
      <w:spacing w:after="57"/>
    </w:pPr>
  </w:style>
  <w:style w:type="paragraph" w:styleId="921">
    <w:name w:val="toc 5"/>
    <w:basedOn w:val="731"/>
    <w:next w:val="731"/>
    <w:uiPriority w:val="39"/>
    <w:unhideWhenUsed/>
    <w:pPr>
      <w:ind w:left="1134"/>
      <w:spacing w:after="57"/>
    </w:pPr>
  </w:style>
  <w:style w:type="paragraph" w:styleId="922">
    <w:name w:val="toc 6"/>
    <w:basedOn w:val="731"/>
    <w:next w:val="731"/>
    <w:uiPriority w:val="39"/>
    <w:unhideWhenUsed/>
    <w:pPr>
      <w:ind w:left="1417"/>
      <w:spacing w:after="57"/>
    </w:pPr>
  </w:style>
  <w:style w:type="paragraph" w:styleId="923">
    <w:name w:val="toc 7"/>
    <w:basedOn w:val="731"/>
    <w:next w:val="731"/>
    <w:uiPriority w:val="39"/>
    <w:unhideWhenUsed/>
    <w:pPr>
      <w:ind w:left="1701"/>
      <w:spacing w:after="57"/>
    </w:pPr>
  </w:style>
  <w:style w:type="paragraph" w:styleId="924">
    <w:name w:val="toc 8"/>
    <w:basedOn w:val="731"/>
    <w:next w:val="731"/>
    <w:uiPriority w:val="39"/>
    <w:unhideWhenUsed/>
    <w:pPr>
      <w:ind w:left="1984"/>
      <w:spacing w:after="57"/>
    </w:pPr>
  </w:style>
  <w:style w:type="paragraph" w:styleId="925">
    <w:name w:val="toc 9"/>
    <w:basedOn w:val="731"/>
    <w:next w:val="731"/>
    <w:uiPriority w:val="39"/>
    <w:unhideWhenUsed/>
    <w:pPr>
      <w:ind w:left="2268"/>
      <w:spacing w:after="57"/>
    </w:pPr>
  </w:style>
  <w:style w:type="paragraph" w:styleId="926">
    <w:name w:val="TOC Heading"/>
    <w:uiPriority w:val="39"/>
    <w:unhideWhenUsed/>
  </w:style>
  <w:style w:type="paragraph" w:styleId="927">
    <w:name w:val="table of figures"/>
    <w:basedOn w:val="731"/>
    <w:next w:val="731"/>
    <w:uiPriority w:val="99"/>
    <w:unhideWhenUsed/>
    <w:pPr>
      <w:spacing w:after="0"/>
    </w:pPr>
  </w:style>
  <w:style w:type="paragraph" w:styleId="928">
    <w:name w:val="No Spacing"/>
    <w:basedOn w:val="731"/>
    <w:uiPriority w:val="1"/>
    <w:qFormat/>
    <w:pPr>
      <w:spacing w:after="0" w:line="240" w:lineRule="auto"/>
    </w:pPr>
  </w:style>
  <w:style w:type="paragraph" w:styleId="929">
    <w:name w:val="List Paragraph"/>
    <w:basedOn w:val="731"/>
    <w:uiPriority w:val="34"/>
    <w:qFormat/>
    <w:pPr>
      <w:contextualSpacing/>
      <w:ind w:left="720"/>
    </w:pPr>
  </w:style>
  <w:style w:type="paragraph" w:styleId="930" w:customStyle="1">
    <w:name w:val="ConsPlusNormal"/>
    <w:pPr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931" w:customStyle="1">
    <w:name w:val="Основной текст (2)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346" w:lineRule="exact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ru-RU" w:bidi="ru-RU"/>
      <w14:ligatures w14:val="none"/>
    </w:rPr>
  </w:style>
  <w:style w:type="paragraph" w:styleId="932" w:customStyle="1">
    <w:name w:val="First Paragraph"/>
    <w:qFormat/>
    <w:pPr>
      <w:contextualSpacing w:val="0"/>
      <w:ind w:left="0" w:right="0" w:firstLine="0"/>
      <w:jc w:val="left"/>
      <w:keepLines w:val="0"/>
      <w:keepNext w:val="0"/>
      <w:pageBreakBefore w:val="0"/>
      <w:spacing w:before="180" w:beforeAutospacing="0" w:after="18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Theme="minorHAnsi" w:hAnsiTheme="minorHAnsi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paragraph" w:styleId="933" w:customStyle="1">
    <w:name w:val="Normal (Web)"/>
    <w:basedOn w:val="827"/>
    <w:uiPriority w:val="99"/>
    <w:unhideWhenUsed/>
    <w:pPr>
      <w:contextualSpacing w:val="0"/>
      <w:ind w:left="0" w:right="0" w:firstLine="709"/>
      <w:jc w:val="both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34" w:customStyle="1">
    <w:name w:val="ConsPlusTitle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35" w:customStyle="1">
    <w:name w:val="Без интервала;Без интервала Стандарт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voov</cp:lastModifiedBy>
  <cp:revision>43</cp:revision>
  <dcterms:created xsi:type="dcterms:W3CDTF">2026-05-14T08:13:00Z</dcterms:created>
  <dcterms:modified xsi:type="dcterms:W3CDTF">2026-07-20T08:06:33Z</dcterms:modified>
</cp:coreProperties>
</file>