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747"/>
        <w:tblW w:w="0" w:type="auto"/>
        <w:tblLayout w:type="fixed"/>
        <w:tblLook w:val="04A0" w:firstRow="1" w:lastRow="0" w:firstColumn="1" w:lastColumn="0" w:noHBand="0" w:noVBand="1"/>
      </w:tblPr>
      <w:tblGrid>
        <w:gridCol w:w="8646"/>
        <w:gridCol w:w="6378"/>
      </w:tblGrid>
      <w:tr>
        <w:trPr>
          <w:trHeight w:val="2066"/>
        </w:trPr>
        <w:tblPrEx/>
        <w:tc>
          <w:tcPr>
            <w:tcW w:w="8646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ind w:left="0" w:right="0"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6378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ПРИЛОЖЕНИЕ № 2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 приказу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министерства труда и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социального развития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Новосибирской области,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министерства здравоохранения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Новосибирской области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</w:tbl>
    <w:p>
      <w:pPr>
        <w:spacing w:after="40" w:afterAutospacing="0" w:line="266" w:lineRule="exact"/>
        <w:ind w:left="0" w:right="0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spacing w:after="40" w:afterAutospacing="0" w:line="266" w:lineRule="exact"/>
        <w:ind w:left="0" w:right="0"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tbl>
      <w:tblPr>
        <w:tblStyle w:val="747"/>
        <w:tblW w:w="0" w:type="auto"/>
        <w:tblLayout w:type="fixed"/>
        <w:tblLook w:val="04A0" w:firstRow="1" w:lastRow="0" w:firstColumn="1" w:lastColumn="0" w:noHBand="0" w:noVBand="1"/>
      </w:tblPr>
      <w:tblGrid>
        <w:gridCol w:w="8646"/>
        <w:gridCol w:w="6378"/>
      </w:tblGrid>
      <w:tr>
        <w:trPr/>
        <w:tblPrEx/>
        <w:tc>
          <w:tcPr>
            <w:tcW w:w="8646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Style w:val="897"/>
              <w:shd w:val="clear" w:color="auto" w:fill="auto"/>
              <w:tabs>
                <w:tab w:val="left" w:pos="1134" w:leader="none"/>
              </w:tabs>
              <w:spacing w:after="0" w:line="322" w:lineRule="exact"/>
              <w:ind w:left="0" w:right="0" w:firstLine="0"/>
            </w:pPr>
          </w:p>
        </w:tc>
        <w:tc>
          <w:tcPr>
            <w:tcW w:w="6378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«ПРИЛОЖЕНИЕ № 5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Алгоритму межведомственного взаимодействия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органов и учреждений системы профилактики безнадзорности и правонарушений несовершеннолетних Новосибирской области в вопросах формирования мотивации, лечения и реабилитации граждан, страдающих наркологическим 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болеваниями, имеющих несовершеннолетних детей, в рамках проекта «ПУТЬ ДОМОЙ»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</w:tbl>
    <w:p>
      <w:pPr>
        <w:jc w:val="right"/>
        <w:rPr>
          <w:highlight w:val="none"/>
        </w:rPr>
      </w:pPr>
      <w:r>
        <w:rPr>
          <w:sz w:val="28"/>
          <w:szCs w:val="28"/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rPr>
          <w:b w:val="0"/>
          <w:bCs w:val="0"/>
          <w:highlight w:val="none"/>
        </w:rPr>
      </w:pPr>
      <w:r>
        <w:rPr>
          <w:b w:val="0"/>
          <w:bCs w:val="0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Алгоритм деятельности куратора случая в рамках проекта «ПУТЬ ДОМОЙ»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tbl>
      <w:tblPr>
        <w:tblStyle w:val="747"/>
        <w:tblW w:w="0" w:type="auto"/>
        <w:tblLayout w:type="fixed"/>
        <w:tblLook w:val="04A0" w:firstRow="1" w:lastRow="0" w:firstColumn="1" w:lastColumn="0" w:noHBand="0" w:noVBand="1"/>
      </w:tblPr>
      <w:tblGrid>
        <w:gridCol w:w="3892"/>
        <w:gridCol w:w="3935"/>
        <w:gridCol w:w="3536"/>
        <w:gridCol w:w="3570"/>
        <w:gridCol w:w="3642"/>
      </w:tblGrid>
      <w:tr>
        <w:trPr/>
        <w:tblPrEx/>
        <w:tc>
          <w:tcPr>
            <w:tcW w:w="3892" w:type="dxa"/>
            <w:noWrap w:val="false"/>
            <w:textDirection w:val="lrTb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I этап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  <w:highlight w:val="none"/>
              </w:rPr>
              <w:t xml:space="preserve">Мотивация граждан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jc w:val="center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</w:tc>
        <w:tc>
          <w:tcPr>
            <w:tcW w:w="3935" w:type="dxa"/>
            <w:noWrap w:val="false"/>
            <w:textDirection w:val="lrTb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b/>
                <w:bCs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II этап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  <w:p>
            <w:pPr>
              <w:jc w:val="center"/>
              <w:rPr>
                <w:b/>
                <w:bCs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  <w:t xml:space="preserve">Лечение и медицинская реабилитация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</w:tc>
        <w:tc>
          <w:tcPr>
            <w:tcW w:w="3536" w:type="dxa"/>
            <w:noWrap w:val="false"/>
            <w:textDirection w:val="lrTb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III этап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b/>
                <w:bCs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  <w:t xml:space="preserve">Социальная реабилитация</w:t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</w:tc>
        <w:tc>
          <w:tcPr>
            <w:tcW w:w="3570" w:type="dxa"/>
            <w:tcBorders>
              <w:right w:val="single" w:color="000000" w:sz="4" w:space="0"/>
            </w:tcBorders>
            <w:noWrap w:val="false"/>
            <w:textDirection w:val="lrTb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IV этап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spacing w:after="0" w:afterAutospacing="0" w:line="240" w:lineRule="auto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  <w:t xml:space="preserve">Социализация по месту жительств</w:t>
            </w: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</w:r>
          </w:p>
          <w:p>
            <w:pPr>
              <w:jc w:val="center"/>
              <w:rPr>
                <w:b/>
                <w:bCs/>
                <w:highlight w:val="none"/>
              </w:rPr>
            </w:pP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  <w:r>
              <w:rPr>
                <w:b/>
                <w:bCs/>
                <w:highlight w:val="none"/>
              </w:rPr>
            </w:r>
          </w:p>
        </w:tc>
        <w:tc>
          <w:tcPr>
            <w:tcW w:w="3642" w:type="dxa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</w:tc>
      </w:tr>
      <w:tr>
        <w:trPr/>
        <w:tblPrEx/>
        <w:tc>
          <w:tcPr>
            <w:tcW w:w="3892" w:type="dxa"/>
            <w:vMerge w:val="restart"/>
            <w:noWrap w:val="false"/>
            <w:textDirection w:val="lrTb"/>
          </w:tcPr>
          <w:p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1. Установление контакта с гражданами, мотивационное консультирование на отказ от употребления алкоголя и наркотических веществ.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afterAutospacing="0" w:line="240" w:lineRule="auto"/>
              <w:jc w:val="both"/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2. Информирование граждан о проекте «Путь домой», его этапах и сроках прохождения медико-социальной реабилитации.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</w:r>
          </w:p>
          <w:p>
            <w:pPr>
              <w:spacing w:after="0" w:afterAutospacing="0" w:line="240" w:lineRule="auto"/>
              <w:jc w:val="both"/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3. Разработка плана сопровождения семьи на условиях участие в проекте «Путь домой». 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</w:r>
          </w:p>
          <w:p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3. Направление граждан на консультацию для получения специализированной медицинской помощи: 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при признаках активного употребления оформление направления на консультацию по форме согласно приложению № 1 к Алгоритму</w:t>
            </w:r>
            <w:r>
              <w:rPr>
                <w:rStyle w:val="876"/>
                <w:rFonts w:ascii="Times New Roman" w:hAnsi="Times New Roman" w:eastAsia="Times New Roman" w:cs="Times New Roman"/>
                <w:sz w:val="25"/>
                <w:szCs w:val="25"/>
              </w:rPr>
              <w:footnoteReference w:id="2"/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 и сопровождение гражданина до стационара; 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при отсутствии признаков активного употребления оформление направления на консультацию по форме согласно  приложению № 2 к Алгоритму 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– 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для жителей г. Новосибирска, по форме согласно приложению № 3 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– 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для жителей районов (округов) Новосибирской области для самостоятельного обращения гражданина. 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4. Принятие решения по временному жизнеустройству ребенка/детей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935" w:type="dxa"/>
            <w:vMerge w:val="restart"/>
            <w:noWrap w:val="false"/>
            <w:textDirection w:val="lrTb"/>
          </w:tcPr>
          <w:p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  <w:t xml:space="preserve">1. Взаимодействие: 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  <w:t xml:space="preserve">с государственным бюджетным учреждением здравоохранения Новосибирской области «Новосибирский областной клинический наркологический диспансер»; 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spacing w:after="0" w:afterAutospacing="0" w:line="240" w:lineRule="auto"/>
              <w:jc w:val="both"/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  <w:t xml:space="preserve">с учреждением/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  <w:t xml:space="preserve">родственниками по месту нахождения ребенка/детей.   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</w:r>
          </w:p>
          <w:p>
            <w:pPr>
              <w:spacing w:after="0" w:afterAutospacing="0" w:line="240" w:lineRule="auto"/>
              <w:jc w:val="both"/>
              <w:rPr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  <w:t xml:space="preserve">2. Оказание содействия в подаче заявления в уполномоченный орган о признании гражданина и ребенка нуждающимися в социальном обслуживании. </w:t>
            </w:r>
            <w:r>
              <w:rPr>
                <w:sz w:val="25"/>
                <w:szCs w:val="25"/>
              </w:rPr>
            </w:r>
            <w:r>
              <w:rPr>
                <w:sz w:val="25"/>
                <w:szCs w:val="25"/>
              </w:rPr>
            </w:r>
          </w:p>
          <w:p>
            <w:pPr>
              <w:spacing w:after="0" w:afterAutospacing="0" w:line="240" w:lineRule="auto"/>
              <w:jc w:val="both"/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  <w:t xml:space="preserve">3. Оказание содействия в совместном размещении гражданина с ребенком в 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государственном автономном учреждении социального обслуживания Новосибирской области «Социально-реабилитационный центр для несовершеннолетних «Снегири»/некоммерческих организациях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</w:r>
          </w:p>
          <w:p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536" w:type="dxa"/>
            <w:vMerge w:val="restart"/>
            <w:noWrap w:val="false"/>
            <w:textDirection w:val="lrTb"/>
          </w:tcPr>
          <w:p>
            <w:pPr>
              <w:spacing w:after="0" w:afterAutospacing="0" w:line="240" w:lineRule="auto"/>
              <w:jc w:val="both"/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1. Взаимодействие с государственным автономным учреждением социального обслуживания Новосибирской области «Социально-реабилитационный центр для несовершеннолетних «Снегири»/некоммерческими организациями. 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</w:r>
          </w:p>
          <w:p>
            <w:pPr>
              <w:spacing w:after="0" w:afterAutospacing="0" w:line="240" w:lineRule="auto"/>
              <w:jc w:val="both"/>
              <w:rPr>
                <w:rFonts w:ascii="Times New Roman" w:hAnsi="Times New Roman" w:eastAsia="Times New Roman" w:cs="Times New Roman"/>
                <w:sz w:val="25"/>
                <w:szCs w:val="25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. 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Не позднее двух недель до окончания курса реабилитации 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на заседании территориального консилиума инициирует корректировку плана с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опровождения семьи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14:ligatures w14:val="none"/>
              </w:rPr>
            </w:r>
          </w:p>
          <w:p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3. 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Готовит проект плана сопровождения семьи и не позднее семи рабочих дней до 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окончания курс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а выносит на утверждение 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муниципальной комиссией по делам несовершеннолетних и защите их прав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570" w:type="dxa"/>
            <w:vMerge w:val="restart"/>
            <w:tcBorders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 w:afterAutospacing="0" w:line="240" w:lineRule="auto"/>
              <w:jc w:val="both"/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1. 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Не менее двух лет 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после окончания курса социальной реабилитации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осуществлять сопровождение: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spacing w:after="0" w:afterAutospacing="0" w:line="240" w:lineRule="auto"/>
              <w:jc w:val="both"/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привлечение служб занятости (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содействие в трудоустройстве, профессиональном обучении, оформлении социального контракта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); 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spacing w:after="0" w:afterAutospacing="0" w:line="240" w:lineRule="auto"/>
              <w:jc w:val="both"/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контроль за посещением гражданами групп «Анонимных алкоголиков»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</w:r>
          </w:p>
          <w:p>
            <w:pPr>
              <w:spacing w:after="0" w:afterAutospacing="0" w:line="240" w:lineRule="auto"/>
              <w:jc w:val="both"/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  <w:t xml:space="preserve">контроль за прохождением диспансеризации и профилактических осмотров;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</w:r>
          </w:p>
          <w:p>
            <w:pPr>
              <w:spacing w:after="0" w:afterAutospacing="0" w:line="240" w:lineRule="auto"/>
              <w:jc w:val="both"/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  <w:t xml:space="preserve">контроль за посещением районного наркологического кабинета в соответствии с порядком диспансерного наблюдения наркологических больных;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</w:r>
          </w:p>
          <w:p>
            <w:pPr>
              <w:spacing w:after="0" w:afterAutospacing="0" w:line="240" w:lineRule="auto"/>
              <w:jc w:val="both"/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  <w:t xml:space="preserve">контроль за посещением детьми подростковых пространств/клубов, досуговых организаций;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</w:r>
          </w:p>
          <w:p>
            <w:pPr>
              <w:spacing w:after="0" w:afterAutospacing="0" w:line="240" w:lineRule="auto"/>
              <w:jc w:val="both"/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highlight w:val="none"/>
              </w:rPr>
              <w:t xml:space="preserve">контроль за посещением (плановым) детьми медицинских организаций, образовательных учреждений; 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spacing w:after="0" w:afterAutospacing="0" w:line="240" w:lineRule="auto"/>
              <w:jc w:val="both"/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содействие в обучении приемам продуктивного взаимодействия с детьми;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spacing w:after="0" w:afterAutospacing="0" w:line="240" w:lineRule="auto"/>
              <w:jc w:val="both"/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помощь в организации семей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ного досуга. 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2. Закрытие случая при стабильной положительной динамике в семье (после двух лет сопровождения). 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  <w:p>
            <w:pPr>
              <w:spacing w:after="0" w:afterAutospacing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3. В случае отсутствия положительной динамики решение вопроса по альтернативному семейному уст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ройству детей</w:t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  <w:r>
              <w:rPr>
                <w:rFonts w:ascii="Times New Roman" w:hAnsi="Times New Roman" w:cs="Times New Roman"/>
                <w:sz w:val="25"/>
                <w:szCs w:val="25"/>
              </w:rPr>
            </w:r>
          </w:p>
        </w:tc>
        <w:tc>
          <w:tcPr>
            <w:tcW w:w="3642" w:type="dxa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</w:rPr>
            </w:r>
          </w:p>
        </w:tc>
      </w:tr>
    </w:tbl>
    <w:p/>
    <w:p>
      <w:pPr>
        <w:jc w:val="center"/>
      </w:pPr>
      <w:r>
        <w:rPr>
          <w:highlight w:val="none"/>
        </w:rPr>
      </w:r>
      <w:r>
        <w:rPr>
          <w:highlight w:val="none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6838" w:h="11906" w:orient="landscape"/>
      <w:pgMar w:top="567" w:right="1134" w:bottom="850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2">
    <w:p>
      <w:pPr>
        <w:pStyle w:val="874"/>
        <w:jc w:val="both"/>
      </w:pPr>
      <w:r>
        <w:rPr>
          <w:rStyle w:val="876"/>
        </w:rPr>
        <w:footnoteRef/>
      </w:r>
      <w:r>
        <w:t xml:space="preserve"> </w:t>
      </w:r>
      <w:r>
        <w:rPr>
          <w:rFonts w:ascii="Times New Roman" w:hAnsi="Times New Roman" w:eastAsia="Times New Roman" w:cs="Times New Roman"/>
        </w:rPr>
        <w:t xml:space="preserve">Алгоритм межведомственного взаимодействия органов и учреждений системы профилактики безнадзорности и правонарушений несовершеннолетних Новосибирской области в вопросах формирования мотивации, лечения и реабилитации граждан, страдающих наркологичес</w:t>
      </w:r>
      <w:r>
        <w:rPr>
          <w:rFonts w:ascii="Times New Roman" w:hAnsi="Times New Roman" w:eastAsia="Times New Roman" w:cs="Times New Roman"/>
        </w:rPr>
        <w:t xml:space="preserve">кими заболеваниями, имеющих несовершеннолетних детей, в рамках проекта «ПУТЬ ДОМОЙ», утвержденный приказом министерства труда и социального развития Новосибирской области, министерства здравоохранения Новосибирской области от 14.10.2025 № 2002-НПА/2908-НПА</w:t>
      </w:r>
      <w:r>
        <w:rPr>
          <w:rFonts w:ascii="Times New Roman" w:hAnsi="Times New Roman" w:eastAsia="Times New Roman" w:cs="Times New Roman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1"/>
      <w:jc w:val="center"/>
    </w:pPr>
    <w:fldSimple w:instr="PAGE \* MERGEFORMAT">
      <w:r>
        <w:rPr>
          <w:rFonts w:ascii="Times New Roman" w:hAnsi="Times New Roman" w:eastAsia="Times New Roman" w:cs="Times New Roman"/>
          <w:sz w:val="20"/>
          <w:szCs w:val="20"/>
        </w:rPr>
        <w:t xml:space="preserve">1</w:t>
      </w:r>
    </w:fldSimple>
    <w:r>
      <w:rPr>
        <w:rFonts w:ascii="Times New Roman" w:hAnsi="Times New Roman" w:eastAsia="Times New Roman" w:cs="Times New Roman"/>
        <w:sz w:val="20"/>
        <w:szCs w:val="20"/>
      </w:rPr>
    </w:r>
    <w:r>
      <w:rPr>
        <w:rFonts w:ascii="Times New Roman" w:hAnsi="Times New Roman" w:eastAsia="Times New Roman" w:cs="Times New Roman"/>
        <w:sz w:val="20"/>
        <w:szCs w:val="20"/>
      </w:rPr>
    </w:r>
  </w:p>
  <w:p>
    <w:pPr>
      <w:pStyle w:val="74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5">
    <w:name w:val="Heading 1"/>
    <w:basedOn w:val="891"/>
    <w:next w:val="891"/>
    <w:link w:val="716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6">
    <w:name w:val="Heading 1 Char"/>
    <w:link w:val="715"/>
    <w:uiPriority w:val="9"/>
    <w:rPr>
      <w:rFonts w:ascii="Arial" w:hAnsi="Arial" w:eastAsia="Arial" w:cs="Arial"/>
      <w:sz w:val="40"/>
      <w:szCs w:val="40"/>
    </w:rPr>
  </w:style>
  <w:style w:type="paragraph" w:styleId="717">
    <w:name w:val="Heading 2"/>
    <w:basedOn w:val="891"/>
    <w:next w:val="891"/>
    <w:link w:val="718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8">
    <w:name w:val="Heading 2 Char"/>
    <w:link w:val="717"/>
    <w:uiPriority w:val="9"/>
    <w:rPr>
      <w:rFonts w:ascii="Arial" w:hAnsi="Arial" w:eastAsia="Arial" w:cs="Arial"/>
      <w:sz w:val="34"/>
    </w:rPr>
  </w:style>
  <w:style w:type="paragraph" w:styleId="719">
    <w:name w:val="Heading 3"/>
    <w:basedOn w:val="891"/>
    <w:next w:val="891"/>
    <w:link w:val="720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0">
    <w:name w:val="Heading 3 Char"/>
    <w:link w:val="719"/>
    <w:uiPriority w:val="9"/>
    <w:rPr>
      <w:rFonts w:ascii="Arial" w:hAnsi="Arial" w:eastAsia="Arial" w:cs="Arial"/>
      <w:sz w:val="30"/>
      <w:szCs w:val="30"/>
    </w:rPr>
  </w:style>
  <w:style w:type="paragraph" w:styleId="721">
    <w:name w:val="Heading 4"/>
    <w:basedOn w:val="891"/>
    <w:next w:val="891"/>
    <w:link w:val="722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2">
    <w:name w:val="Heading 4 Char"/>
    <w:link w:val="721"/>
    <w:uiPriority w:val="9"/>
    <w:rPr>
      <w:rFonts w:ascii="Arial" w:hAnsi="Arial" w:eastAsia="Arial" w:cs="Arial"/>
      <w:b/>
      <w:bCs/>
      <w:sz w:val="26"/>
      <w:szCs w:val="26"/>
    </w:rPr>
  </w:style>
  <w:style w:type="paragraph" w:styleId="723">
    <w:name w:val="Heading 5"/>
    <w:basedOn w:val="891"/>
    <w:next w:val="891"/>
    <w:link w:val="724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4">
    <w:name w:val="Heading 5 Char"/>
    <w:link w:val="723"/>
    <w:uiPriority w:val="9"/>
    <w:rPr>
      <w:rFonts w:ascii="Arial" w:hAnsi="Arial" w:eastAsia="Arial" w:cs="Arial"/>
      <w:b/>
      <w:bCs/>
      <w:sz w:val="24"/>
      <w:szCs w:val="24"/>
    </w:rPr>
  </w:style>
  <w:style w:type="paragraph" w:styleId="725">
    <w:name w:val="Heading 6"/>
    <w:basedOn w:val="891"/>
    <w:next w:val="891"/>
    <w:link w:val="726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6">
    <w:name w:val="Heading 6 Char"/>
    <w:link w:val="725"/>
    <w:uiPriority w:val="9"/>
    <w:rPr>
      <w:rFonts w:ascii="Arial" w:hAnsi="Arial" w:eastAsia="Arial" w:cs="Arial"/>
      <w:b/>
      <w:bCs/>
      <w:sz w:val="22"/>
      <w:szCs w:val="22"/>
    </w:rPr>
  </w:style>
  <w:style w:type="paragraph" w:styleId="727">
    <w:name w:val="Heading 7"/>
    <w:basedOn w:val="891"/>
    <w:next w:val="891"/>
    <w:link w:val="728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8">
    <w:name w:val="Heading 7 Char"/>
    <w:link w:val="72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9">
    <w:name w:val="Heading 8"/>
    <w:basedOn w:val="891"/>
    <w:next w:val="891"/>
    <w:link w:val="730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0">
    <w:name w:val="Heading 8 Char"/>
    <w:link w:val="729"/>
    <w:uiPriority w:val="9"/>
    <w:rPr>
      <w:rFonts w:ascii="Arial" w:hAnsi="Arial" w:eastAsia="Arial" w:cs="Arial"/>
      <w:i/>
      <w:iCs/>
      <w:sz w:val="22"/>
      <w:szCs w:val="22"/>
    </w:rPr>
  </w:style>
  <w:style w:type="paragraph" w:styleId="731">
    <w:name w:val="Heading 9"/>
    <w:basedOn w:val="891"/>
    <w:next w:val="891"/>
    <w:link w:val="732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2">
    <w:name w:val="Heading 9 Char"/>
    <w:link w:val="731"/>
    <w:uiPriority w:val="9"/>
    <w:rPr>
      <w:rFonts w:ascii="Arial" w:hAnsi="Arial" w:eastAsia="Arial" w:cs="Arial"/>
      <w:i/>
      <w:iCs/>
      <w:sz w:val="21"/>
      <w:szCs w:val="21"/>
    </w:rPr>
  </w:style>
  <w:style w:type="paragraph" w:styleId="733">
    <w:name w:val="Title"/>
    <w:basedOn w:val="891"/>
    <w:next w:val="891"/>
    <w:link w:val="734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734">
    <w:name w:val="Title Char"/>
    <w:link w:val="733"/>
    <w:uiPriority w:val="10"/>
    <w:rPr>
      <w:sz w:val="48"/>
      <w:szCs w:val="48"/>
    </w:rPr>
  </w:style>
  <w:style w:type="paragraph" w:styleId="735">
    <w:name w:val="Subtitle"/>
    <w:basedOn w:val="891"/>
    <w:next w:val="891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>
    <w:name w:val="Subtitle Char"/>
    <w:link w:val="735"/>
    <w:uiPriority w:val="11"/>
    <w:rPr>
      <w:sz w:val="24"/>
      <w:szCs w:val="24"/>
    </w:rPr>
  </w:style>
  <w:style w:type="paragraph" w:styleId="737">
    <w:name w:val="Quote"/>
    <w:basedOn w:val="891"/>
    <w:next w:val="891"/>
    <w:link w:val="738"/>
    <w:uiPriority w:val="29"/>
    <w:qFormat/>
    <w:pPr>
      <w:ind w:left="720" w:right="720"/>
    </w:pPr>
    <w:rPr>
      <w:i/>
    </w:rPr>
  </w:style>
  <w:style w:type="character" w:styleId="738">
    <w:name w:val="Quote Char"/>
    <w:link w:val="737"/>
    <w:uiPriority w:val="29"/>
    <w:rPr>
      <w:i/>
    </w:rPr>
  </w:style>
  <w:style w:type="paragraph" w:styleId="739">
    <w:name w:val="Intense Quote"/>
    <w:basedOn w:val="891"/>
    <w:next w:val="891"/>
    <w:link w:val="74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740">
    <w:name w:val="Intense Quote Char"/>
    <w:link w:val="739"/>
    <w:uiPriority w:val="30"/>
    <w:rPr>
      <w:i/>
    </w:rPr>
  </w:style>
  <w:style w:type="paragraph" w:styleId="741">
    <w:name w:val="Header"/>
    <w:basedOn w:val="891"/>
    <w:link w:val="742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42">
    <w:name w:val="Header Char"/>
    <w:link w:val="741"/>
    <w:uiPriority w:val="99"/>
  </w:style>
  <w:style w:type="paragraph" w:styleId="743">
    <w:name w:val="Footer"/>
    <w:basedOn w:val="891"/>
    <w:link w:val="746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44">
    <w:name w:val="Footer Char"/>
    <w:link w:val="743"/>
    <w:uiPriority w:val="99"/>
  </w:style>
  <w:style w:type="paragraph" w:styleId="745">
    <w:name w:val="Caption"/>
    <w:basedOn w:val="891"/>
    <w:next w:val="8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6">
    <w:name w:val="Caption Char"/>
    <w:basedOn w:val="745"/>
    <w:link w:val="743"/>
    <w:uiPriority w:val="99"/>
  </w:style>
  <w:style w:type="table" w:styleId="747">
    <w:name w:val="Table Grid"/>
    <w:basedOn w:val="89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8">
    <w:name w:val="Table Grid Light"/>
    <w:basedOn w:val="8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9">
    <w:name w:val="Plain Table 1"/>
    <w:basedOn w:val="8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>
    <w:name w:val="Plain Table 2"/>
    <w:basedOn w:val="89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1">
    <w:name w:val="Plain Table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2">
    <w:name w:val="Plain Table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Plain Table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4">
    <w:name w:val="Grid Table 1 Light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2">
    <w:name w:val="Grid Table 2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3">
    <w:name w:val="Grid Table 2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4">
    <w:name w:val="Grid Table 2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5">
    <w:name w:val="Grid Table 2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6">
    <w:name w:val="Grid Table 2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7">
    <w:name w:val="Grid Table 2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8">
    <w:name w:val="Grid Table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9">
    <w:name w:val="Grid Table 3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0">
    <w:name w:val="Grid Table 3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1">
    <w:name w:val="Grid Table 3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2">
    <w:name w:val="Grid Table 3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3">
    <w:name w:val="Grid Table 3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4">
    <w:name w:val="Grid Table 3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5">
    <w:name w:val="Grid Table 4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6">
    <w:name w:val="Grid Table 4 - Accent 1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67a4d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7">
    <w:name w:val="Grid Table 4 - Accent 2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8">
    <w:name w:val="Grid Table 4 - Accent 3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9">
    <w:name w:val="Grid Table 4 - Accent 4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0">
    <w:name w:val="Grid Table 4 - Accent 5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1">
    <w:name w:val="Grid Table 4 - Accent 6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2">
    <w:name w:val="Grid Table 5 Dark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83">
    <w:name w:val="Grid Table 5 Dark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5b9bd5" w:themeFill="accent1"/>
      </w:tcPr>
    </w:tblStylePr>
  </w:style>
  <w:style w:type="table" w:styleId="784">
    <w:name w:val="Grid Table 5 Dark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785">
    <w:name w:val="Grid Table 5 Dark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786">
    <w:name w:val="Grid Table 5 Dark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787">
    <w:name w:val="Grid Table 5 Dark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472c4" w:themeFill="accent5"/>
      </w:tcPr>
    </w:tblStylePr>
  </w:style>
  <w:style w:type="table" w:styleId="788">
    <w:name w:val="Grid Table 5 Dark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789">
    <w:name w:val="Grid Table 6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0">
    <w:name w:val="Grid Table 6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1">
    <w:name w:val="Grid Table 6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2">
    <w:name w:val="Grid Table 6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3">
    <w:name w:val="Grid Table 6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4">
    <w:name w:val="Grid Table 6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5">
    <w:name w:val="Grid Table 6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6">
    <w:name w:val="Grid Table 7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7">
    <w:name w:val="Grid Table 7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8">
    <w:name w:val="Grid Table 7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9">
    <w:name w:val="Grid Table 7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00">
    <w:name w:val="Grid Table 7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01">
    <w:name w:val="Grid Table 7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02">
    <w:name w:val="Grid Table 7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03">
    <w:name w:val="List Table 1 Light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1">
    <w:name w:val="List Table 2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2">
    <w:name w:val="List Table 2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3">
    <w:name w:val="List Table 2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4">
    <w:name w:val="List Table 2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5">
    <w:name w:val="List Table 2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6">
    <w:name w:val="List Table 2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7">
    <w:name w:val="List Table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5 Dark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5b9bd5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5b9bd5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8eabdb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6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9">
    <w:name w:val="List Table 6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0">
    <w:name w:val="List Table 6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1">
    <w:name w:val="List Table 6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2">
    <w:name w:val="List Table 6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3">
    <w:name w:val="List Table 6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4">
    <w:name w:val="List Table 6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5">
    <w:name w:val="List Table 7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6">
    <w:name w:val="List Table 7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47">
    <w:name w:val="List Table 7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48">
    <w:name w:val="List Table 7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49">
    <w:name w:val="List Table 7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50">
    <w:name w:val="List Table 7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51">
    <w:name w:val="List Table 7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2">
    <w:name w:val="Lined - Accent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3">
    <w:name w:val="Lined - Accent 1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4">
    <w:name w:val="Lined - Accent 2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5">
    <w:name w:val="Lined - Accent 3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6">
    <w:name w:val="Lined - Accent 4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7">
    <w:name w:val="Lined - Accent 5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8">
    <w:name w:val="Lined - Accent 6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9">
    <w:name w:val="Bordered &amp; Lined - Accent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0">
    <w:name w:val="Bordered &amp; Lined - Accent 1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1">
    <w:name w:val="Bordered &amp; Lined - Accent 2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2">
    <w:name w:val="Bordered &amp; Lined - Accent 3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3">
    <w:name w:val="Bordered &amp; Lined - Accent 4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4">
    <w:name w:val="Bordered &amp; Lined - Accent 5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5">
    <w:name w:val="Bordered &amp; Lined - Accent 6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6">
    <w:name w:val="Bordered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7">
    <w:name w:val="Bordered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8">
    <w:name w:val="Bordered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9">
    <w:name w:val="Bordered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0">
    <w:name w:val="Bordered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1">
    <w:name w:val="Bordered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2">
    <w:name w:val="Bordered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3">
    <w:name w:val="Hyperlink"/>
    <w:uiPriority w:val="99"/>
    <w:unhideWhenUsed/>
    <w:rPr>
      <w:color w:val="0000ff" w:themeColor="hyperlink"/>
      <w:u w:val="single"/>
    </w:rPr>
  </w:style>
  <w:style w:type="paragraph" w:styleId="874">
    <w:name w:val="footnote text"/>
    <w:basedOn w:val="891"/>
    <w:link w:val="875"/>
    <w:uiPriority w:val="99"/>
    <w:semiHidden/>
    <w:unhideWhenUsed/>
    <w:pPr>
      <w:spacing w:after="40" w:line="240" w:lineRule="auto"/>
    </w:pPr>
    <w:rPr>
      <w:sz w:val="18"/>
    </w:rPr>
  </w:style>
  <w:style w:type="character" w:styleId="875">
    <w:name w:val="Footnote Text Char"/>
    <w:link w:val="874"/>
    <w:uiPriority w:val="99"/>
    <w:rPr>
      <w:sz w:val="18"/>
    </w:rPr>
  </w:style>
  <w:style w:type="character" w:styleId="876">
    <w:name w:val="footnote reference"/>
    <w:uiPriority w:val="99"/>
    <w:unhideWhenUsed/>
    <w:rPr>
      <w:vertAlign w:val="superscript"/>
    </w:rPr>
  </w:style>
  <w:style w:type="paragraph" w:styleId="877">
    <w:name w:val="endnote text"/>
    <w:basedOn w:val="891"/>
    <w:link w:val="878"/>
    <w:uiPriority w:val="99"/>
    <w:semiHidden/>
    <w:unhideWhenUsed/>
    <w:pPr>
      <w:spacing w:after="0" w:line="240" w:lineRule="auto"/>
    </w:pPr>
    <w:rPr>
      <w:sz w:val="20"/>
    </w:rPr>
  </w:style>
  <w:style w:type="character" w:styleId="878">
    <w:name w:val="Endnote Text Char"/>
    <w:link w:val="877"/>
    <w:uiPriority w:val="99"/>
    <w:rPr>
      <w:sz w:val="20"/>
    </w:rPr>
  </w:style>
  <w:style w:type="character" w:styleId="879">
    <w:name w:val="endnote reference"/>
    <w:uiPriority w:val="99"/>
    <w:semiHidden/>
    <w:unhideWhenUsed/>
    <w:rPr>
      <w:vertAlign w:val="superscript"/>
    </w:rPr>
  </w:style>
  <w:style w:type="paragraph" w:styleId="880">
    <w:name w:val="toc 1"/>
    <w:basedOn w:val="891"/>
    <w:next w:val="891"/>
    <w:uiPriority w:val="39"/>
    <w:unhideWhenUsed/>
    <w:pPr>
      <w:spacing w:after="57"/>
      <w:ind w:left="0" w:right="0" w:firstLine="0"/>
    </w:pPr>
  </w:style>
  <w:style w:type="paragraph" w:styleId="881">
    <w:name w:val="toc 2"/>
    <w:basedOn w:val="891"/>
    <w:next w:val="891"/>
    <w:uiPriority w:val="39"/>
    <w:unhideWhenUsed/>
    <w:pPr>
      <w:spacing w:after="57"/>
      <w:ind w:left="283" w:right="0" w:firstLine="0"/>
    </w:pPr>
  </w:style>
  <w:style w:type="paragraph" w:styleId="882">
    <w:name w:val="toc 3"/>
    <w:basedOn w:val="891"/>
    <w:next w:val="891"/>
    <w:uiPriority w:val="39"/>
    <w:unhideWhenUsed/>
    <w:pPr>
      <w:spacing w:after="57"/>
      <w:ind w:left="567" w:right="0" w:firstLine="0"/>
    </w:pPr>
  </w:style>
  <w:style w:type="paragraph" w:styleId="883">
    <w:name w:val="toc 4"/>
    <w:basedOn w:val="891"/>
    <w:next w:val="891"/>
    <w:uiPriority w:val="39"/>
    <w:unhideWhenUsed/>
    <w:pPr>
      <w:spacing w:after="57"/>
      <w:ind w:left="850" w:right="0" w:firstLine="0"/>
    </w:pPr>
  </w:style>
  <w:style w:type="paragraph" w:styleId="884">
    <w:name w:val="toc 5"/>
    <w:basedOn w:val="891"/>
    <w:next w:val="891"/>
    <w:uiPriority w:val="39"/>
    <w:unhideWhenUsed/>
    <w:pPr>
      <w:spacing w:after="57"/>
      <w:ind w:left="1134" w:right="0" w:firstLine="0"/>
    </w:pPr>
  </w:style>
  <w:style w:type="paragraph" w:styleId="885">
    <w:name w:val="toc 6"/>
    <w:basedOn w:val="891"/>
    <w:next w:val="891"/>
    <w:uiPriority w:val="39"/>
    <w:unhideWhenUsed/>
    <w:pPr>
      <w:spacing w:after="57"/>
      <w:ind w:left="1417" w:right="0" w:firstLine="0"/>
    </w:pPr>
  </w:style>
  <w:style w:type="paragraph" w:styleId="886">
    <w:name w:val="toc 7"/>
    <w:basedOn w:val="891"/>
    <w:next w:val="891"/>
    <w:uiPriority w:val="39"/>
    <w:unhideWhenUsed/>
    <w:pPr>
      <w:spacing w:after="57"/>
      <w:ind w:left="1701" w:right="0" w:firstLine="0"/>
    </w:pPr>
  </w:style>
  <w:style w:type="paragraph" w:styleId="887">
    <w:name w:val="toc 8"/>
    <w:basedOn w:val="891"/>
    <w:next w:val="891"/>
    <w:uiPriority w:val="39"/>
    <w:unhideWhenUsed/>
    <w:pPr>
      <w:spacing w:after="57"/>
      <w:ind w:left="1984" w:right="0" w:firstLine="0"/>
    </w:pPr>
  </w:style>
  <w:style w:type="paragraph" w:styleId="888">
    <w:name w:val="toc 9"/>
    <w:basedOn w:val="891"/>
    <w:next w:val="891"/>
    <w:uiPriority w:val="39"/>
    <w:unhideWhenUsed/>
    <w:pPr>
      <w:spacing w:after="57"/>
      <w:ind w:left="2268" w:right="0" w:firstLine="0"/>
    </w:pPr>
  </w:style>
  <w:style w:type="paragraph" w:styleId="889">
    <w:name w:val="TOC Heading"/>
    <w:uiPriority w:val="39"/>
    <w:unhideWhenUsed/>
  </w:style>
  <w:style w:type="paragraph" w:styleId="890">
    <w:name w:val="table of figures"/>
    <w:basedOn w:val="891"/>
    <w:next w:val="891"/>
    <w:uiPriority w:val="99"/>
    <w:unhideWhenUsed/>
    <w:pPr>
      <w:spacing w:after="0" w:afterAutospacing="0"/>
    </w:pPr>
  </w:style>
  <w:style w:type="paragraph" w:styleId="891" w:default="1">
    <w:name w:val="Normal"/>
    <w:qFormat/>
  </w:style>
  <w:style w:type="table" w:styleId="89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3" w:default="1">
    <w:name w:val="No List"/>
    <w:uiPriority w:val="99"/>
    <w:semiHidden/>
    <w:unhideWhenUsed/>
  </w:style>
  <w:style w:type="paragraph" w:styleId="894">
    <w:name w:val="No Spacing"/>
    <w:basedOn w:val="891"/>
    <w:uiPriority w:val="1"/>
    <w:qFormat/>
    <w:pPr>
      <w:spacing w:after="0" w:line="240" w:lineRule="auto"/>
    </w:pPr>
  </w:style>
  <w:style w:type="paragraph" w:styleId="895">
    <w:name w:val="List Paragraph"/>
    <w:basedOn w:val="891"/>
    <w:uiPriority w:val="34"/>
    <w:qFormat/>
    <w:pPr>
      <w:ind w:left="720"/>
      <w:contextualSpacing/>
    </w:pPr>
  </w:style>
  <w:style w:type="character" w:styleId="896" w:default="1">
    <w:name w:val="Default Paragraph Font"/>
    <w:uiPriority w:val="1"/>
    <w:semiHidden/>
    <w:unhideWhenUsed/>
  </w:style>
  <w:style w:type="paragraph" w:styleId="897" w:customStyle="1">
    <w:name w:val="Основной текст (2)"/>
    <w:basedOn w:val="770"/>
    <w:pPr>
      <w:keepNext w:val="0"/>
      <w:keepLines w:val="0"/>
      <w:pageBreakBefore w:val="0"/>
      <w:widowControl w:val="off"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clear" w:color="auto" w:fill="ffffff"/>
      <w:spacing w:before="0" w:beforeAutospacing="0" w:after="300" w:afterAutospacing="0" w:line="326" w:lineRule="exact"/>
      <w:ind w:left="0" w:right="0" w:hanging="2040"/>
      <w:contextualSpacing w:val="0"/>
      <w:jc w:val="center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14</cp:revision>
  <dcterms:modified xsi:type="dcterms:W3CDTF">2026-06-08T04:18:05Z</dcterms:modified>
</cp:coreProperties>
</file>