
<file path=[Content_Types].xml><?xml version="1.0" encoding="utf-8"?>
<Types xmlns="http://schemas.openxmlformats.org/package/2006/content-types">
  <Default Extension="svg" ContentType="image/svg+xml"/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9889" w:type="dxa"/>
        <w:tblLook w:val="0000" w:firstRow="0" w:lastRow="0" w:firstColumn="0" w:lastColumn="0" w:noHBand="0" w:noVBand="0"/>
      </w:tblPr>
      <w:tblGrid>
        <w:gridCol w:w="1356"/>
        <w:gridCol w:w="6690"/>
        <w:gridCol w:w="540"/>
        <w:gridCol w:w="1303"/>
      </w:tblGrid>
      <w:tr>
        <w:tblPrEx/>
        <w:trPr>
          <w:trHeight w:val="2698"/>
        </w:trPr>
        <w:tc>
          <w:tcPr>
            <w:gridSpan w:val="4"/>
            <w:tcW w:w="988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28955" cy="650240"/>
                      <wp:effectExtent l="0" t="0" r="4445" b="0"/>
                      <wp:docPr id="1" name="Рисунок 1" descr="emble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 descr="emblem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528955" cy="650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41.65pt;height:51.20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МИНИСТЕРСТВО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ТРУДА И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СОЦИАЛЬНОГО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РАЗВИТИЯ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НОВОСИБИРСКОЙ ОБЛАСТИ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</w:r>
            <w:r>
              <w:rPr>
                <w:rFonts w:ascii="Times New Roman" w:hAnsi="Times New Roman"/>
                <w:b/>
                <w:sz w:val="16"/>
                <w:szCs w:val="16"/>
              </w:rPr>
            </w:r>
            <w:r>
              <w:rPr>
                <w:rFonts w:ascii="Times New Roman" w:hAnsi="Times New Roman"/>
                <w:b/>
                <w:sz w:val="16"/>
                <w:szCs w:val="16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ПРИКАЗ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/>
        <w:tc>
          <w:tcPr>
            <w:tcBorders>
              <w:bottom w:val="single" w:color="auto" w:sz="4" w:space="0"/>
            </w:tcBorders>
            <w:tcW w:w="135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669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54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>
              <w:bottom w:val="single" w:color="auto" w:sz="4" w:space="0"/>
            </w:tcBorders>
            <w:tcW w:w="130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7"/>
        </w:trPr>
        <w:tc>
          <w:tcPr>
            <w:gridSpan w:val="4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88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/>
            <w:bookmarkStart w:id="0" w:name="_GoBack"/>
            <w:r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Новосибирск</w:t>
            </w:r>
            <w:bookmarkEnd w:id="0"/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pStyle w:val="866"/>
        <w:jc w:val="center"/>
      </w:pPr>
      <w:r/>
      <w:r/>
    </w:p>
    <w:p>
      <w:pPr>
        <w:jc w:val="center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 xml:space="preserve">О внесении изменения в приказ министерства труда и социального развития Новосибирской области от </w:t>
      </w:r>
      <w:r>
        <w:rPr>
          <w:rFonts w:ascii="Times New Roman" w:hAnsi="Times New Roman"/>
          <w:sz w:val="28"/>
          <w:szCs w:val="28"/>
        </w:rPr>
        <w:t xml:space="preserve">20.02.2024 № 256-НПА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sz w:val="28"/>
          <w:szCs w:val="28"/>
          <w:highlight w:val="none"/>
        </w:rPr>
        <w:t xml:space="preserve">ПРИКАЗЫВАЮ: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sz w:val="28"/>
          <w:szCs w:val="28"/>
          <w:highlight w:val="none"/>
        </w:rPr>
        <w:outlineLvl w:val="0"/>
      </w:pPr>
      <w:r>
        <w:rPr>
          <w:rFonts w:ascii="Times New Roman" w:hAnsi="Times New Roman"/>
          <w:color w:val="000000"/>
          <w:sz w:val="28"/>
          <w:szCs w:val="28"/>
        </w:rPr>
        <w:t xml:space="preserve">Внести в приказ министерства труда и социального развития Новосибирской области от 20.02.2024 № 256-НПА «</w:t>
      </w:r>
      <w:r>
        <w:rPr>
          <w:rFonts w:ascii="Times New Roman" w:hAnsi="Times New Roman"/>
          <w:sz w:val="28"/>
          <w:szCs w:val="28"/>
        </w:rPr>
        <w:t xml:space="preserve">Об утверждении сведений о порядке сбора информации и методике расчета показателей, включенных в паспорта государственной программы Новосибирской области «Содействие занятости населения» и ее структурных элементов</w:t>
      </w:r>
      <w:r>
        <w:rPr>
          <w:rFonts w:ascii="Times New Roman" w:hAnsi="Times New Roman"/>
          <w:sz w:val="28"/>
          <w:szCs w:val="28"/>
        </w:rPr>
        <w:t xml:space="preserve">» следующее изменение: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sz w:val="28"/>
          <w:szCs w:val="28"/>
          <w:highlight w:val="none"/>
        </w:rPr>
        <w:outlineLvl w:val="0"/>
      </w:pPr>
      <w:r>
        <w:rPr>
          <w:rFonts w:ascii="Times New Roman" w:hAnsi="Times New Roman"/>
          <w:sz w:val="28"/>
          <w:szCs w:val="28"/>
          <w:highlight w:val="none"/>
        </w:rPr>
        <w:t xml:space="preserve">сведения о порядке </w:t>
      </w:r>
      <w:r>
        <w:rPr>
          <w:rFonts w:ascii="Times New Roman" w:hAnsi="Times New Roman"/>
          <w:sz w:val="28"/>
          <w:szCs w:val="28"/>
        </w:rPr>
        <w:t xml:space="preserve">сбора информации и методике расчета показателей, включенных в паспорта государственной программы Новосибирской области «Содействие занятости населения» и ее структурных элементов,</w:t>
      </w:r>
      <w:r>
        <w:rPr>
          <w:rFonts w:ascii="Times New Roman" w:hAnsi="Times New Roman"/>
          <w:sz w:val="28"/>
          <w:szCs w:val="28"/>
          <w:highlight w:val="none"/>
        </w:rPr>
        <w:t xml:space="preserve"> изложить в редакции согласно приложению к настоящему приказу.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882"/>
        <w:ind w:left="0"/>
        <w:jc w:val="center"/>
        <w:spacing w:after="0"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</w:rPr>
        <w:t xml:space="preserve">Министр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Е.В. Бахарева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82"/>
        <w:ind w:left="0"/>
        <w:jc w:val="center"/>
        <w:spacing w:after="0" w:line="240" w:lineRule="auto"/>
        <w:rPr>
          <w:rFonts w:ascii="Times New Roman" w:hAnsi="Times New Roman"/>
          <w:sz w:val="28"/>
          <w:szCs w:val="28"/>
        </w:rPr>
        <w:sectPr>
          <w:headerReference w:type="default" r:id="rId8"/>
          <w:headerReference w:type="first" r:id="rId9"/>
          <w:footerReference w:type="first" r:id="rId10"/>
          <w:footnotePr/>
          <w:endnotePr/>
          <w:type w:val="continuous"/>
          <w:pgSz w:w="11906" w:h="16838" w:orient="portrait"/>
          <w:pgMar w:top="1134" w:right="567" w:bottom="1134" w:left="1418" w:header="709" w:footer="709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884"/>
        <w:ind w:left="10490"/>
        <w:jc w:val="center"/>
        <w:tabs>
          <w:tab w:val="left" w:pos="11199" w:leader="none"/>
          <w:tab w:val="left" w:pos="11624" w:leader="none"/>
          <w:tab w:val="left" w:pos="12333" w:leader="none"/>
          <w:tab w:val="left" w:pos="13041" w:leader="none"/>
          <w:tab w:val="left" w:pos="13325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4"/>
        <w:ind w:left="10490"/>
        <w:jc w:val="center"/>
        <w:tabs>
          <w:tab w:val="left" w:pos="11199" w:leader="none"/>
          <w:tab w:val="left" w:pos="11624" w:leader="none"/>
          <w:tab w:val="left" w:pos="12333" w:leader="none"/>
          <w:tab w:val="left" w:pos="13041" w:leader="none"/>
          <w:tab w:val="left" w:pos="13325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</w:t>
      </w:r>
      <w:r>
        <w:rPr>
          <w:rFonts w:ascii="Times New Roman" w:hAnsi="Times New Roman" w:cs="Times New Roman"/>
          <w:sz w:val="28"/>
          <w:szCs w:val="28"/>
        </w:rPr>
        <w:t xml:space="preserve"> приказу министерства труда и социального развития Новосибирской области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4"/>
        <w:ind w:left="10490"/>
        <w:jc w:val="center"/>
        <w:tabs>
          <w:tab w:val="left" w:pos="11199" w:leader="none"/>
          <w:tab w:val="left" w:pos="11624" w:leader="none"/>
          <w:tab w:val="left" w:pos="13041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</w:t>
      </w:r>
      <w:r>
        <w:rPr>
          <w:rFonts w:ascii="Times New Roman" w:hAnsi="Times New Roman" w:cs="Times New Roman"/>
          <w:sz w:val="28"/>
          <w:szCs w:val="28"/>
        </w:rPr>
        <w:t xml:space="preserve"> ____________№_______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4"/>
        <w:ind w:left="10490"/>
        <w:jc w:val="center"/>
        <w:tabs>
          <w:tab w:val="left" w:pos="11199" w:leader="none"/>
          <w:tab w:val="left" w:pos="11624" w:leader="none"/>
          <w:tab w:val="left" w:pos="12333" w:leader="none"/>
          <w:tab w:val="left" w:pos="13041" w:leader="none"/>
          <w:tab w:val="left" w:pos="13325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4"/>
        <w:ind w:left="10490"/>
        <w:jc w:val="center"/>
        <w:tabs>
          <w:tab w:val="left" w:pos="11199" w:leader="none"/>
          <w:tab w:val="left" w:pos="11624" w:leader="none"/>
          <w:tab w:val="left" w:pos="12333" w:leader="none"/>
          <w:tab w:val="left" w:pos="13041" w:leader="none"/>
          <w:tab w:val="left" w:pos="13325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4"/>
        <w:ind w:left="10490"/>
        <w:jc w:val="center"/>
        <w:tabs>
          <w:tab w:val="left" w:pos="11199" w:leader="none"/>
          <w:tab w:val="left" w:pos="11624" w:leader="none"/>
          <w:tab w:val="left" w:pos="12333" w:leader="none"/>
          <w:tab w:val="left" w:pos="13041" w:leader="none"/>
          <w:tab w:val="left" w:pos="13325" w:leader="none"/>
        </w:tabs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«ПРИЛОЖЕНИЕ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884"/>
        <w:ind w:left="10490"/>
        <w:jc w:val="center"/>
        <w:tabs>
          <w:tab w:val="left" w:pos="11199" w:leader="none"/>
          <w:tab w:val="left" w:pos="11624" w:leader="none"/>
          <w:tab w:val="left" w:pos="12333" w:leader="none"/>
          <w:tab w:val="left" w:pos="13041" w:leader="none"/>
          <w:tab w:val="left" w:pos="13325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</w:t>
      </w:r>
      <w:r>
        <w:rPr>
          <w:rFonts w:ascii="Times New Roman" w:hAnsi="Times New Roman" w:cs="Times New Roman"/>
          <w:sz w:val="28"/>
          <w:szCs w:val="28"/>
        </w:rPr>
        <w:t xml:space="preserve"> приказу министерства труда и социального развития Новосибирской области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4"/>
        <w:ind w:left="10490"/>
        <w:jc w:val="center"/>
        <w:tabs>
          <w:tab w:val="left" w:pos="11199" w:leader="none"/>
          <w:tab w:val="left" w:pos="11624" w:leader="none"/>
          <w:tab w:val="left" w:pos="13041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</w:t>
      </w:r>
      <w:r>
        <w:rPr>
          <w:rFonts w:ascii="Times New Roman" w:hAnsi="Times New Roman" w:cs="Times New Roman"/>
          <w:sz w:val="28"/>
          <w:szCs w:val="28"/>
        </w:rPr>
        <w:t xml:space="preserve"> 20.02.2024 № 256-НПА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240" w:lineRule="auto"/>
        <w:widowControl w:val="o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jc w:val="center"/>
        <w:spacing w:after="0" w:line="240" w:lineRule="auto"/>
        <w:widowControl w:val="o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jc w:val="center"/>
        <w:spacing w:after="0" w:line="240" w:lineRule="auto"/>
        <w:widowControl w:val="off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 w:line="240" w:lineRule="auto"/>
        <w:widowControl w:val="off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  <w:t xml:space="preserve">СВЕДЕНИЯ </w:t>
      </w: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 порядке сбора информации и методике расчета показателей, включенных в паспорта государственной программы Новосибирской области «Содействие занятости населения» и ее структурных элементов</w:t>
      </w: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tbl>
      <w:tblPr>
        <w:tblW w:w="15277" w:type="dxa"/>
        <w:tblInd w:w="-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20" w:firstRow="1" w:lastRow="0" w:firstColumn="0" w:lastColumn="0" w:noHBand="0" w:noVBand="0"/>
      </w:tblPr>
      <w:tblGrid>
        <w:gridCol w:w="2268"/>
        <w:gridCol w:w="1701"/>
        <w:gridCol w:w="1600"/>
        <w:gridCol w:w="6731"/>
        <w:gridCol w:w="2977"/>
      </w:tblGrid>
      <w:tr>
        <w:tblPrEx/>
        <w:trPr>
          <w:trHeight w:val="535"/>
        </w:trPr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111" w:leader="none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Наименование показателя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Периодичность сбора 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60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Вид временной характеристики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673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Методика расчета (плановых и фактических значений)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Источник получения данных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</w:tr>
      <w:tr>
        <w:tblPrEx/>
        <w:trPr>
          <w:trHeight w:val="259"/>
        </w:trPr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2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60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3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673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4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5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</w:tr>
      <w:tr>
        <w:tblPrEx/>
        <w:trPr>
          <w:trHeight w:val="419"/>
        </w:trPr>
        <w:tc>
          <w:tcPr>
            <w:gridSpan w:val="5"/>
            <w:tcW w:w="15277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Показатели государственной программы «Содействие занятости населения»</w:t>
            </w:r>
            <w:r>
              <w:rPr>
                <w:rFonts w:ascii="Times New Roman" w:hAnsi="Times New Roman"/>
                <w:b/>
                <w:sz w:val="16"/>
                <w:szCs w:val="16"/>
              </w:rPr>
            </w:r>
            <w:r>
              <w:rPr>
                <w:rFonts w:ascii="Times New Roman" w:hAnsi="Times New Roman"/>
                <w:b/>
                <w:sz w:val="16"/>
                <w:szCs w:val="16"/>
              </w:rPr>
            </w:r>
          </w:p>
        </w:tc>
      </w:tr>
      <w:tr>
        <w:tblPrEx/>
        <w:trPr>
          <w:trHeight w:val="188"/>
        </w:trPr>
        <w:tc>
          <w:tcPr>
            <w:tcW w:w="226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Уровень регистрируемой безработицы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годовая</w:t>
            </w:r>
            <w:r>
              <w:rPr>
                <w:rFonts w:ascii="Times New Roman" w:hAnsi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</w:rPr>
            </w:r>
          </w:p>
        </w:tc>
        <w:tc>
          <w:tcPr>
            <w:tcW w:w="16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дискретный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(за отчетный период)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6731" w:type="dxa"/>
            <w:textDirection w:val="lrTb"/>
            <w:noWrap w:val="false"/>
          </w:tcPr>
          <w:p>
            <w:pPr>
              <w:jc w:val="both"/>
              <w:spacing w:before="0" w:beforeAutospacing="0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Плановое значение: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.без.пл. = 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Числ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.без.пл./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Числ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.раб.сил.пл.*100,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в %, где: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.без.пл.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уровень зарегистрированной безработицы, планируемый на отчетный период;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Числ.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.без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.пл. – численность зарегистрированных безработных граждан в центрах занятости населения, планируемая на конец отчетного периода;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Числ.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.сил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.пл. – численность рабочей силы, планируемая, (среднее значение показателя за год).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Плано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вые значения показателе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й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определяются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по оценке Минтруда и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соцразвития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НСО с учетом планируемой динамики.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Фактическое значение: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.без.ф. =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Числ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.зар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.без.ф./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Числ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.раб.сил.ф*100,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в %, где: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.без.ф. – уровень зарегистрированной безработицы фактический за отчетный период;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Числ.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.без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.ф. – численность зарегистрированных безработных граждан в центрах занятости населения на конец отчетного периода, фактическая;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Числ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.раб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.сил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.ф. – численность рабочей силы, фактическая (среднее значение показателя за отчетный период).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Достижение значений показателя осуществляется в том числе за счет мер, реализуемых в рамках следующих структурных элементов: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КПМ «Активная политика занятости населения и социальная поддержка безработных граждан», КПМ «Исполнение переданного полномочия Российской Федерации (в части 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уществления социальных выплат безработным гражданам и иным категориям граждан)», КПМ «Сопровождение инвалидов, в том числе инвалидов молодого возраста, при трудоустройстве»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, КПМ «Содействие добровольному переселению в Новосибирскую область соотечественников, проживающих за рубежом»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,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РП «Образование для рынка труда (Новосибирская область)»,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РП «Управление рынком труда (Новосибирская область)»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</w:tc>
        <w:tc>
          <w:tcPr>
            <w:tcW w:w="29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Численность рабочей силы – по данным Росстата «Обследование населения по проблемам занятости»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срок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опубликования официальных данных: 17-19 число месяца, следующего за отчетным периодом).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Численность зарегист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рированных безработных – по данным государственной статистиче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ской отчетности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ф. № 1-Т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(трудоустройство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/замещение потребности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месячная «Сведения о содействии занятости граждан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и содействии в замещении потребности работодателей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(срок представления: 5-ый рабочий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день после отчетного периода)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trHeight w:val="188"/>
        </w:trPr>
        <w:tc>
          <w:tcPr>
            <w:tcW w:w="2268" w:type="dxa"/>
            <w:textDirection w:val="lrTb"/>
            <w:noWrap w:val="false"/>
          </w:tcPr>
          <w:p>
            <w:pPr>
              <w:contextualSpacing w:val="0"/>
              <w:ind w:left="0"/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зарегистрированных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групповых несчастных случаев на производстве, несчастных случаев на производстве с тяжелым и смертельным исходом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годовая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6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дискретный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(за отчетный период)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6731" w:type="dxa"/>
            <w:textDirection w:val="lrTb"/>
            <w:noWrap w:val="false"/>
          </w:tcPr>
          <w:p>
            <w:pPr>
              <w:jc w:val="both"/>
              <w:spacing w:before="0" w:beforeAutospacing="0" w:after="0" w:line="240" w:lineRule="auto"/>
              <w:rPr>
                <w:rFonts w:ascii="Times New Roman" w:hAnsi="Times New Roman"/>
                <w:b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Пл</w:t>
            </w: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  <w:t xml:space="preserve">ановое значение: </w:t>
            </w: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Плановое значение показателя рассчитывается по формуле: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Нс.пл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 =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Нс.пл.пред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 - К, где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Нс.пл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 </w:t>
            </w:r>
            <w:r>
              <w:rPr>
                <w:rFonts w:ascii="Times New Roman" w:hAnsi="Times New Roman"/>
                <w:sz w:val="21"/>
                <w:szCs w:val="21"/>
                <w:highlight w:val="none"/>
              </w:rPr>
              <w:t xml:space="preserve">–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плановое значение количества несчастных случаев на отчетный период;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Нс.пл.пред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 </w:t>
            </w:r>
            <w:r>
              <w:rPr>
                <w:rFonts w:ascii="Times New Roman" w:hAnsi="Times New Roman"/>
                <w:sz w:val="21"/>
                <w:szCs w:val="21"/>
                <w:highlight w:val="none"/>
              </w:rPr>
              <w:t xml:space="preserve">–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плановое значение количества несчастных случаев предыдущего периода;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К </w:t>
            </w:r>
            <w:r>
              <w:rPr>
                <w:rFonts w:ascii="Times New Roman" w:hAnsi="Times New Roman"/>
                <w:sz w:val="21"/>
                <w:szCs w:val="21"/>
                <w:highlight w:val="none"/>
              </w:rPr>
              <w:t xml:space="preserve">–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показатель динамики убывания (процент),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который определяется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с учетом прогнозируемой ситуации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исходя из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темпов роста объемов про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изводства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не ниже 3%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ежегодно).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Фактическое значение: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данным ГИТ за отчетный период.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Достижение значений показателя осуществляется в том числе за счет мер, реализуемых в рамках структурного элемента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КПМ 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«Улучшение условий и охраны труда»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9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Данные ГИТ по фо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рме № 1-травматизм «Сведения о количестве зарегистрированных групповых несчастных случаев на производстве, несчастных случаев на производстве с тяжелым и смертельным исходом», утвержденной приказом Росстата от 03.10.2008 № 244 (срок представления отчетных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данных ГИТ – апрель месяц года, следующего за отчетным)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trHeight w:val="188"/>
        </w:trPr>
        <w:tc>
          <w:tcPr>
            <w:tcW w:w="226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Численность пострадавших (застрахованных) в результате страховых несчастных случаев на производстве со смертельным исходом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годовая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6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дискретный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(за отчетный период)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673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b/>
                <w:bCs/>
                <w:highlight w:val="non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highlight w:val="none"/>
              </w:rPr>
              <w:t xml:space="preserve">Плановое значение:</w:t>
            </w:r>
            <w:r>
              <w:rPr>
                <w:b/>
                <w:bCs/>
                <w:highlight w:val="none"/>
              </w:rPr>
            </w:r>
            <w:r>
              <w:rPr>
                <w:b/>
                <w:bCs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Плановое значение показателя рассчитывается по формуле: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п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нс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.см.пл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 =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п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нс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.см.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пред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 -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К, где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п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нс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.см.пл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Times New Roman" w:hAnsi="Times New Roman"/>
                <w:sz w:val="21"/>
                <w:szCs w:val="21"/>
                <w:highlight w:val="none"/>
              </w:rPr>
              <w:t xml:space="preserve">–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плановое значение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численности пострадавших (застрахов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анных)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на отчетный период;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п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нс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.см.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пред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Times New Roman" w:hAnsi="Times New Roman"/>
                <w:sz w:val="21"/>
                <w:szCs w:val="21"/>
                <w:highlight w:val="none"/>
              </w:rPr>
              <w:t xml:space="preserve">–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пл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ановое значение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численности пострадавших (застрахованных)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предыдущего периода;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  <w:lang w:val="en-US"/>
              </w:rPr>
              <w:t xml:space="preserve">К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Times New Roman" w:hAnsi="Times New Roman"/>
                <w:sz w:val="21"/>
                <w:szCs w:val="21"/>
                <w:highlight w:val="none"/>
              </w:rPr>
              <w:t xml:space="preserve">–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показатель динамики убывания (процент),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который определяется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с учетом прогнозируемой ситуации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исходя из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темпов роста объемов про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изводства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(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не ниже 3%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ежегодно).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Плановое значение показателя на 2024 год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установлено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в сторону снижения от фактического значения за предыдущий период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на 5,1%.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b/>
                <w:bCs/>
                <w:highlight w:val="non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highlight w:val="none"/>
              </w:rPr>
              <w:t xml:space="preserve">Фактическое значение:</w:t>
            </w:r>
            <w:r>
              <w:rPr>
                <w:b/>
                <w:bCs/>
                <w:highlight w:val="none"/>
              </w:rPr>
            </w:r>
            <w:r>
              <w:rPr>
                <w:b/>
                <w:bCs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Данные ОСФР по НСО за отчетный период.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Достижение значений показателя осуществляется в том числе за счет мер, реализуемых в рамках структурного элемента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КПМ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«Улучшение условий и охраны труда»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</w:tc>
        <w:tc>
          <w:tcPr>
            <w:tcW w:w="29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Данные ОСФР по НСО (срок предоставления данных –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январь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месяц года, следующего за отчетным)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</w:tc>
      </w:tr>
      <w:tr>
        <w:tblPrEx/>
        <w:trPr>
          <w:trHeight w:val="188"/>
        </w:trPr>
        <w:tc>
          <w:tcPr>
            <w:gridSpan w:val="5"/>
            <w:tcW w:w="152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Показатели комплекса процессных мероприятий «Активная политика занятости населения и социальная поддержка безработных граждан»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trHeight w:val="188"/>
        </w:trPr>
        <w:tc>
          <w:tcPr>
            <w:tcW w:w="226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Доля трудоустроенных граждан в общей численности граждан, обратившихся за содействием в поиске подходящей работы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green"/>
              </w:rPr>
            </w:r>
            <w:r>
              <w:rPr>
                <w:rFonts w:ascii="Times New Roman" w:hAnsi="Times New Roman"/>
                <w:sz w:val="24"/>
                <w:szCs w:val="24"/>
              </w:rPr>
              <w:t xml:space="preserve">квартальная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6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дискретный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(за отчетный период)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673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  <w:t xml:space="preserve">Плановое значение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: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Отн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.тр. к обр.пл. = 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Числ.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труд.пл./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Числ.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обр.пл.*100,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в %, где: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Отн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.тр. к обр.пл. – отношение граждан, снятых с регистрационного учета в связи с трудоустройством, к общей численности обратившихся граждан, планируемое на отчетный период;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Числ.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труд.пл. – численность трудоустроенных граждан при содействии центров занятости населения, планируемая на отчетный период;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Числ.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обр.пл. – численность граждан, обратившихся за содейств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ием в поиске подходящей работы в центры занятости населения, планируемая на отчетный период.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Плановые значения показателей определяются на основе складывающихся фактических тенденций и с учетом прогнозируемой ситуации.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  <w:t xml:space="preserve">Фактическое значение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: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Отн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.тр. к обр.ф. = 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Числ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.труд.ф./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Числ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.обр.ф.*100,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в %,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где: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Отн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.тр. к обр.ф. – отношение граждан, снятых с регистрационного учета в связи с трудоустройством, к общей численности обратившихся граждан, фактическое;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Числ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.труд.ф. – численность трудоустроенных граждан при содействии центров занятости населения за отчетный период, фактическая;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Числ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.обр.ф. – численность граждан, обратившихся за содействием в поиске подходящей работы в центры занятости населения за отчетный период, фактическая.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before="120" w:after="0" w:line="240" w:lineRule="auto"/>
              <w:rPr>
                <w:rFonts w:ascii="Times New Roman" w:hAnsi="Times New Roman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Определяется на основании мер, запл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анированных в рамках реализации мероприятий (р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езультатов):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541X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000008,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541X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000038,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541X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000561,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541X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001140,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541X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001141,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541X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001142, 001143,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541X001186</w:t>
            </w:r>
            <w:r>
              <w:rPr>
                <w:rFonts w:ascii="Times New Roman" w:hAnsi="Times New Roman"/>
                <w:sz w:val="24"/>
                <w:szCs w:val="24"/>
                <w:highlight w:val="none"/>
                <w14:ligatures w14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  <w14:ligatures w14:val="none"/>
              </w:rPr>
            </w:r>
          </w:p>
        </w:tc>
        <w:tc>
          <w:tcPr>
            <w:tcW w:w="29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Данные государственной статистической отчетности ф. № 2-т (трудоустройство) квартальная «Сведения о предоставлении государствен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ных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услуг в области содействия занятости населения»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(срок представления: 10-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ый рабочий день после отчетного периода)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trHeight w:val="188"/>
        </w:trPr>
        <w:tc>
          <w:tcPr>
            <w:tcW w:w="226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Уровень удовлетворенности граждан, ищущих р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  <w:t xml:space="preserve">аботу,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  <w:t xml:space="preserve">предоставленными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  <w:t xml:space="preserve">м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  <w:t xml:space="preserve">ерами государственной поддержки в сфере занятости населения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квартальная</w:t>
            </w:r>
            <w:r>
              <w:rPr>
                <w:rFonts w:ascii="Times New Roman" w:hAnsi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</w:rPr>
            </w:r>
          </w:p>
        </w:tc>
        <w:tc>
          <w:tcPr>
            <w:tcW w:w="16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дискретный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(за отчетный период)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6731" w:type="dxa"/>
            <w:textDirection w:val="lrTb"/>
            <w:noWrap w:val="false"/>
          </w:tcPr>
          <w:p>
            <w:pPr>
              <w:jc w:val="both"/>
              <w:spacing w:before="0" w:beforeAutospacing="0" w:after="0" w:line="240" w:lineRule="auto"/>
              <w:rPr>
                <w:rFonts w:ascii="Times New Roman" w:hAnsi="Times New Roman"/>
                <w:b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  <w:t xml:space="preserve">Плановое значение:</w:t>
            </w: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Уров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.удов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.пл. = 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Числ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гражд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.удов.пл./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Числ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гражд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.пл.*100,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в %, где: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Уров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.удов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.пл.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–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у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ровень удовлетворенности граждан, ищущих работу,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предоставленными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мерами государственной поддержки в сфере занятости населения</w:t>
            </w:r>
            <w:r>
              <w:rPr>
                <w:rFonts w:ascii="Times New Roman" w:hAnsi="Times New Roman"/>
                <w:bCs/>
                <w:sz w:val="24"/>
                <w:szCs w:val="24"/>
                <w:highlight w:val="none"/>
              </w:rPr>
              <w:t xml:space="preserve">, планируемый на отчетный период;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Числ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гражд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.удов.пл. – численность граждан, удовлетворенных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предоставленными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мерами государственной поддержки в сфере занятости населения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планируемая на отчетный период;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Числ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гражд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.пл. – численность опрошенных граждан об удовлетворенности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мерами государственной поддержки в сфере занятости населения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, п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ланируемая на отчетный период.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Плановые значения показателей определяются на основе складывающихся фактических тенденций и с учетом прогнозируемой ситуации.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  <w:t xml:space="preserve">Фактическое значение:</w:t>
            </w: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Уров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.удов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.ф. =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Числ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гражд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.удов.ф./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Числ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гражд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.ф.*100,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в %, где: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Уров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.удов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.ф.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–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уровень удовлетворенности граждан, ищущих работу, предоставленными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мерами государственной поддержки в сфере занятости населения</w:t>
            </w:r>
            <w:r>
              <w:rPr>
                <w:rFonts w:ascii="Times New Roman" w:hAnsi="Times New Roman"/>
                <w:bCs/>
                <w:sz w:val="24"/>
                <w:szCs w:val="24"/>
                <w:highlight w:val="none"/>
              </w:rPr>
              <w:t xml:space="preserve">, за отчетный период, фактический;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Числ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гражд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.удов.ф. – численность граждан, удовлетворенных предоставленными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мерами государственной поддержки в сфере занятости населения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за отчетный период, фактическая;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Числ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гражд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.ф. – численность опрошенных граждан об удовлетворенности предоставленными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мерами государственной поддержки в сфере занятости населения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за отчетный период, фактическая.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before="120" w:after="0" w:line="240" w:lineRule="auto"/>
              <w:rPr>
                <w:rFonts w:ascii="Times New Roman" w:hAnsi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Определяется на основании мер, запланированных в рамках реализации мероприятий (результатов):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541X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000008,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541X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000038,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541X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000561,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541X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001140,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541X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001141,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541X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001142, 001143,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541X001186</w:t>
            </w:r>
            <w:r>
              <w:rPr>
                <w:rFonts w:ascii="Times New Roman" w:hAnsi="Times New Roman"/>
                <w:sz w:val="20"/>
                <w:szCs w:val="20"/>
                <w:highlight w:val="none"/>
              </w:rPr>
            </w:r>
            <w:r>
              <w:rPr>
                <w:rFonts w:ascii="Times New Roman" w:hAnsi="Times New Roman"/>
                <w:sz w:val="20"/>
                <w:szCs w:val="20"/>
                <w:highlight w:val="none"/>
              </w:rPr>
            </w:r>
          </w:p>
        </w:tc>
        <w:tc>
          <w:tcPr>
            <w:tcW w:w="29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о данным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опросов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граждан, обращающихся в центры занятости населения за содействием в поиске подходящей работы,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проводимых посредством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информационного сервиса «Единое окно»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(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срок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представления: по запросу Минтруда и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соцразвития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НСО)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</w:tc>
      </w:tr>
      <w:tr>
        <w:tblPrEx/>
        <w:trPr>
          <w:trHeight w:val="333"/>
        </w:trPr>
        <w:tc>
          <w:tcPr>
            <w:gridSpan w:val="5"/>
            <w:tcW w:w="1527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  <w:t xml:space="preserve">Показатели комплекса процессных мероприятий «Исполнение переданного полномочия Российской Федерации (в части осуществления социальных выплат безработным гражданам)»</w:t>
            </w: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</w:r>
          </w:p>
        </w:tc>
      </w:tr>
      <w:tr>
        <w:tblPrEx/>
        <w:trPr>
          <w:trHeight w:val="188"/>
        </w:trPr>
        <w:tc>
          <w:tcPr>
            <w:tcW w:w="226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Уровень обеспеченности безработных граждан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и иных категорий граждан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в части осуществления социальных выплат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квартальная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</w:tc>
        <w:tc>
          <w:tcPr>
            <w:tcW w:w="16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дискретный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(за отчетный период)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</w:tc>
        <w:tc>
          <w:tcPr>
            <w:tcW w:w="6731" w:type="dxa"/>
            <w:textDirection w:val="lrTb"/>
            <w:noWrap w:val="false"/>
          </w:tcPr>
          <w:p>
            <w:pPr>
              <w:jc w:val="both"/>
              <w:spacing w:before="0" w:beforeAutospacing="0" w:after="0" w:line="240" w:lineRule="auto"/>
              <w:rPr>
                <w:rFonts w:ascii="Times New Roman" w:hAnsi="Times New Roman"/>
                <w:b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  <w:t xml:space="preserve">Плановое значение:</w:t>
            </w: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Ур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обесп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.пл. = 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Числ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получ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.соц.вып.пл./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Числ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гр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.пл.*100,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в %, где: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Ур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обесп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.пл.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–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уровень обеспеченности безработных граждан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и иных категорий граждан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в части осуществления социальных выплат, планируемый на отчетный период;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Числ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получ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.соц.вып.пл. – численность безработных граждан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и иных категорий граждан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, получающих социальные выплаты в отчетном периоде, планируемая;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Числ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гр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.пл. – численность безработных граждан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и иных категорий граждан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планируемая на отчетный период.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  <w:t xml:space="preserve">Фактическое значение:</w:t>
            </w: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Ур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обесп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.ф. =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Числ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получ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.пос.ф./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Числ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безр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.ф.*100,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в %, где: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Ур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обесп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.ф.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–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уровень обеспеченности безработных граждан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и иных категорий граждан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в части осуществления социальных выплат, фактический;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Числ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получ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.соц.вып.ф. – численность безработных граждан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и иных категорий граждан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, получающих социальные выплаты в отчетном периоде, фактическая;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Числ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гр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.ф. – численность безработных граждан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и иных категорий граждан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, за отчетный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период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фа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ктическая.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Определяется на основании мер, запланированных в рамках реализации мероприятий (результатов): 541Х000039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</w:tc>
        <w:tc>
          <w:tcPr>
            <w:tcW w:w="2977" w:type="dxa"/>
            <w:textDirection w:val="lrTb"/>
            <w:noWrap w:val="false"/>
          </w:tcPr>
          <w:p>
            <w:pPr>
              <w:ind w:left="33"/>
              <w:jc w:val="both"/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Данные государственной статистической отчетност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и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ф. № 2-т (трудоустройство) квартальная «Сведения о предоставлении гос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у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дарственных услуг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области содействия занятости населения» (срок представления: 10-ый рабочий день после отчетного периода),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ф. № 1-Т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</w:r>
          </w:p>
          <w:p>
            <w:pPr>
              <w:ind w:left="33"/>
              <w:jc w:val="both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(трудоустройство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/замещение потребности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месячная «Сведения о содействии занятости граждан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и содействии в замещении потребности работодателей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/>
                <w:color w:val="auto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(срок представления: 5-ый рабочий день после отчетного периода)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</w:r>
          </w:p>
        </w:tc>
      </w:tr>
      <w:tr>
        <w:tblPrEx/>
        <w:trPr>
          <w:trHeight w:val="188"/>
        </w:trPr>
        <w:tc>
          <w:tcPr>
            <w:gridSpan w:val="5"/>
            <w:tcW w:w="15277" w:type="dxa"/>
            <w:textDirection w:val="lrTb"/>
            <w:noWrap w:val="false"/>
          </w:tcPr>
          <w:p>
            <w:pPr>
              <w:ind w:left="33" w:hanging="33"/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  <w:t xml:space="preserve">Показатели комплекса процессных мероприятий «Сопровождение инвалидов, в том числе инвалидов молодого возраста, при трудоустройстве»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</w:tc>
      </w:tr>
      <w:tr>
        <w:tblPrEx/>
        <w:trPr>
          <w:trHeight w:val="475"/>
        </w:trPr>
        <w:tc>
          <w:tcPr>
            <w:tcW w:w="226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Доля трудоустроенных граждан, относящихся к категории инвалидов, в общей численности инвалидов, обратившихся в центры занятости населения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квартальная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6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дискретный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(за отчетный период)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6731" w:type="dxa"/>
            <w:textDirection w:val="lrTb"/>
            <w:noWrap w:val="false"/>
          </w:tcPr>
          <w:p>
            <w:pPr>
              <w:jc w:val="both"/>
              <w:spacing w:before="0" w:beforeAutospacing="0" w:after="0" w:line="240" w:lineRule="auto"/>
              <w:rPr>
                <w:rFonts w:ascii="Times New Roman" w:hAnsi="Times New Roman"/>
                <w:b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  <w:t xml:space="preserve">Плановое значение:</w:t>
            </w: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Д.тр.инв.пл. =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Числ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.труд.инв.пл./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Числ.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обр.инв.пл.*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100,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в %,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где: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Д.тр.инв.пл. –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доля граждан, относящихся к категории инвалидов, которых планируется трудоустроить на конец отчетного периода, из числа граждан, относящихся к категории инвалидов, которые обратятся за содействием в поиске подходящей работы (трудоустройстве) в центры заня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тости населения, на конец отчетного периода, в общей планируемой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численности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граждан, относящихся к категории инвалидов, которые обратятся за содействием в поиске подходящей работы (трудоустройстве) в центры занятости населения, на конец отчетного периода;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Числ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.труд.инв.пл. – численность граждан, относящихся к категории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инвалидов, которые будут трудоустроены на конец отчетного периода, из числа граждан, относящихся к категории инвалидов, которые обратятся за содействием в поиске подходящей работы (трудоустройстве) в центры занятости населения, на конец отчетного периода;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Числ.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обр.инв.пл. – планируемая численность граждан, относящихся к категории инвалидов, которые обратятся за содействием в поиске подходящей работы (трудоустройстве) в центры занятости населения, на конец отчетного периода.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Плановые значения показателей определяются на основе складывающихся фактических тенденций и с учетом прогнозируемой ситуации.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  <w:t xml:space="preserve">Фактическое значение:</w:t>
            </w: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Д.тр.инв.ф. =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Числ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.труд.инв.ф./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Числ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.обр.инв.ф.*100,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в %,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где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: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Д.тр.инв.ф. – доля фактическ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и трудоустроенных граждан, относящихся к категории инвалидов, в общей численности граждан, относящихся к категории инвалидов, обратившихся за содействием в поиске подходящей работы (трудоустройстве) в центры занятости населения, на конец отчетного периода;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Числ.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труд.инв.ф. – численность фактически трудоустроенных граждан, относящихся к категории инвалидов, трудоустроенных при содействии центров занятости населения на конец отчетного периода;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Числ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.обр.инв.ф. – фактическая численность граждан, относящихся к категории инвалидов, обратившихся за содействием в поиске подходящей работы (трудоустройстве) в центры занятости нас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еления, на конец отчетного периода.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Определяется на основании мер, запланирова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нных в рамках реализации мероприятий (результатов): 541Х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000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042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541Х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000596,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541Х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001144,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541Х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001147</w:t>
            </w:r>
            <w:r>
              <w:rPr>
                <w:rFonts w:ascii="Times New Roman" w:hAnsi="Times New Roman"/>
                <w:sz w:val="24"/>
                <w:szCs w:val="24"/>
                <w:highlight w:val="none"/>
                <w14:ligatures w14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  <w14:ligatures w14:val="none"/>
              </w:rPr>
            </w:r>
          </w:p>
        </w:tc>
        <w:tc>
          <w:tcPr>
            <w:tcW w:w="2977" w:type="dxa"/>
            <w:textDirection w:val="lrTb"/>
            <w:noWrap w:val="false"/>
          </w:tcPr>
          <w:p>
            <w:pPr>
              <w:ind w:left="33" w:hanging="33"/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Данные государственной статистической отчетности ф. № 2-т (трудоустройство) квартальная «Сведения о предоставлении гос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уда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рственных услуг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в области содействи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занятости населения» (срок представления: 10-ый рабочий день после отчетного периода)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trHeight w:val="233"/>
        </w:trPr>
        <w:tc>
          <w:tcPr>
            <w:gridSpan w:val="5"/>
            <w:tcW w:w="152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Показатели комплекса процессных мероприятий «Содействие добровольному переселению в Новосибирскую область соотечественников, проживающих за рубежом»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trHeight w:val="188"/>
        </w:trPr>
        <w:tc>
          <w:tcPr>
            <w:tcW w:w="226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информационных материалов, изданных для распространения среди потенциальных участников региональной программы переселения соотечественников в Новосибирскую область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885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квартальная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W w:w="16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дискретный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(за отчетный период)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673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Плановое значение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установлено с учетом запланированного объема финансирования.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Фактическое значение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определяется количеством информационных материалов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изданных для распространения среди потенциальных участников региональной программы переселения соотечественников в Новосибирскую область, в отчетном периоде.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Определяется на основании мер, запланированных в рамках реализации мероприятий (результатов)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001150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</w:tc>
        <w:tc>
          <w:tcPr>
            <w:tcW w:w="2977" w:type="dxa"/>
            <w:textDirection w:val="lrTb"/>
            <w:noWrap w:val="false"/>
          </w:tcPr>
          <w:p>
            <w:pPr>
              <w:ind w:left="33" w:hanging="33"/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Ведомственная отчетность Минтруда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соцразвития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НСО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trHeight w:val="188"/>
        </w:trPr>
        <w:tc>
          <w:tcPr>
            <w:tcW w:w="226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Численность участников Государственной программы и членов их семей, прибывших в Новосибирскую область и поставленных на учет в ГУ МВД России по Новосибирской области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885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квартальная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W w:w="16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дискретный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(за отчетный период)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673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Плановое значение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установлено в соответствии с Соглашением о предоставлении субсидии из федерального бюджета бюджету Новосибирско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й области на реализацию мероприятий, предусмотренных региональной программой переселения, включенной в Государственную программу по оказанию содействия добровольному переселению в Российскую Федерацию соотечественников, проживающих за рубежом, заключенным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МВД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России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Правительством Новосибирской области.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Фактическое значение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определяется количеством участников Государственной программы и членов их семей, прибывших и поставленных на учет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МВД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России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Новосибирской области, в отчетном периоде.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Определяетс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я на основании мер, з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апланированных в рамках реализации меро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прияти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я (результата):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541Х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000005,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541Х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000007,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541Х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0000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09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541Х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000010,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541Х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000011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,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541Х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000012,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541Х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000013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541Х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000014,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541Х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000074,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541Х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001149,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541Х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001150,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541Х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001226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</w:tc>
        <w:tc>
          <w:tcPr>
            <w:tcW w:w="29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Ведомственная отчетность Минтруда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соцразвития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НСО, министерства образования Новосибирской области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trHeight w:val="188"/>
        </w:trPr>
        <w:tc>
          <w:tcPr>
            <w:gridSpan w:val="5"/>
            <w:tcW w:w="152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Показатели комплекса процессных мероприятий «Улучшение условий и охраны труда»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trHeight w:val="188"/>
        </w:trPr>
        <w:tc>
          <w:tcPr>
            <w:tcW w:w="226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коллективных договоров, территориальных соглашений и территориальных отраслевых (межотраслевых) соглашений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годовая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6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дискретный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(за отчетный период)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</w:tc>
        <w:tc>
          <w:tcPr>
            <w:tcW w:w="673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highlight w:val="none"/>
              </w:rPr>
              <w:t xml:space="preserve">Плановое значение: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  <w:t xml:space="preserve">Значение показателя планируется на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  <w:t xml:space="preserve">основе складывающихся фактических тенденций количества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  <w:t xml:space="preserve">коллективных договоров,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  <w:t xml:space="preserve">территориальных соглашений и территориальных отраслевых (межотраслевых) соглашений,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  <w:t xml:space="preserve">зарегистрированных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  <w:t xml:space="preserve">органами местного самоуправления муниципальных образований Новосибирской области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  <w:t xml:space="preserve">,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  <w:t xml:space="preserve">и с учетом прогнозируемой ситуации.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highlight w:val="none"/>
              </w:rPr>
              <w:t xml:space="preserve">Фактическое значение: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color w:val="000000" w:themeColor="text1"/>
                <w:highlight w:val="none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  <w:t xml:space="preserve">Данные Минтруда и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  <w:t xml:space="preserve">соцразвития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  <w:t xml:space="preserve"> НСО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  <w:t xml:space="preserve">на конец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  <w:t xml:space="preserve">отчетн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  <w:t xml:space="preserve">ого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  <w:t xml:space="preserve"> период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  <w:t xml:space="preserve">а</w:t>
            </w:r>
            <w:r>
              <w:rPr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  <w:p>
            <w:pPr>
              <w:jc w:val="both"/>
              <w:spacing w:before="120" w:after="0" w:line="240" w:lineRule="auto"/>
              <w:rPr>
                <w:rFonts w:ascii="Times New Roman" w:hAnsi="Times New Roman"/>
                <w:b/>
                <w:strike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  <w:t xml:space="preserve">Определяется на основании мер, запланированных в рамках реализации мероприятий (результатов): 541Х000030</w:t>
            </w:r>
            <w:r>
              <w:rPr>
                <w:rFonts w:ascii="Times New Roman" w:hAnsi="Times New Roman"/>
                <w:b/>
                <w:strike/>
                <w:color w:val="000000" w:themeColor="text1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b/>
                <w:strike/>
                <w:color w:val="000000" w:themeColor="text1"/>
                <w:sz w:val="24"/>
                <w:szCs w:val="24"/>
                <w:highlight w:val="none"/>
              </w:rPr>
            </w:r>
          </w:p>
        </w:tc>
        <w:tc>
          <w:tcPr>
            <w:tcW w:w="29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  <w:t xml:space="preserve">Данные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  <w:t xml:space="preserve">органов местного самоуправления муниципальных образований Новосибирской области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  <w:t xml:space="preserve">(срок предоставления информации </w:t>
            </w:r>
            <w:r>
              <w:rPr>
                <w:rFonts w:ascii="Times New Roman" w:hAnsi="Times New Roman"/>
                <w:sz w:val="21"/>
                <w:szCs w:val="21"/>
                <w:highlight w:val="none"/>
              </w:rPr>
              <w:t xml:space="preserve">–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  <w:t xml:space="preserve"> февраль месяц года, следующего за отчетным)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</w:r>
          </w:p>
        </w:tc>
      </w:tr>
      <w:tr>
        <w:tblPrEx/>
        <w:trPr>
          <w:trHeight w:val="188"/>
        </w:trPr>
        <w:tc>
          <w:tcPr>
            <w:tcW w:w="226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Численность пострадавших в результате несчастных случаев на производстве с утратой трудоспособности на 1 рабочий день и более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годовая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6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дискретный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(за отчетный период)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</w:tc>
        <w:tc>
          <w:tcPr>
            <w:tcW w:w="673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  <w:t xml:space="preserve">Плановое значение:</w:t>
            </w: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Значение показателя рассчитывается по формуле: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Ч.пнс.пл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 =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Ч.пнс.пред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.-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К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, где: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Ч.пнс.пл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 </w:t>
            </w:r>
            <w:r>
              <w:rPr>
                <w:rFonts w:ascii="Times New Roman" w:hAnsi="Times New Roman"/>
                <w:sz w:val="21"/>
                <w:szCs w:val="21"/>
                <w:highlight w:val="none"/>
              </w:rPr>
              <w:t xml:space="preserve">–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плановое значение численности пострадавших на отчетный период;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Ч.пнс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 пред. – плановое значение численности пострадавших предыдущего периода;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К </w:t>
            </w:r>
            <w:r>
              <w:rPr>
                <w:rFonts w:ascii="Times New Roman" w:hAnsi="Times New Roman"/>
                <w:sz w:val="21"/>
                <w:szCs w:val="21"/>
                <w:highlight w:val="none"/>
              </w:rPr>
              <w:t xml:space="preserve">–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показатель динамики убывания (процент),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который определяется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с учетом прогнозируемой ситуации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исходя из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темпов роста объемов про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изводства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не ниже 3%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ежегодно).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Плановое значение показателя на 2024 год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установлено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в сторону снижения от фактического значения за предыдущий период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на 3,1%.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  <w:t xml:space="preserve">Фактическое значение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: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Данные ОСФР по НСО за отчетный период.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before="120" w:after="0" w:line="240" w:lineRule="auto"/>
              <w:rPr>
                <w:rFonts w:ascii="Times New Roman" w:hAnsi="Times New Roman"/>
                <w:b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Определяется на основании мер, запланированных в рамках реализации мероприятий (результатов)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: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  <w:t xml:space="preserve">541Х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000018,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  <w:t xml:space="preserve">541Х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000021,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  <w:t xml:space="preserve">541Х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000263</w:t>
            </w: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</w:r>
          </w:p>
        </w:tc>
        <w:tc>
          <w:tcPr>
            <w:tcW w:w="29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Данные ОСФР по НСО (срок предоставления данных </w:t>
            </w:r>
            <w:r>
              <w:rPr>
                <w:rFonts w:ascii="Times New Roman" w:hAnsi="Times New Roman"/>
                <w:sz w:val="21"/>
                <w:szCs w:val="21"/>
                <w:highlight w:val="none"/>
              </w:rPr>
              <w:t xml:space="preserve">–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январь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месяц года, следующего за отчетным)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</w:tc>
      </w:tr>
      <w:tr>
        <w:tblPrEx/>
        <w:trPr>
          <w:trHeight w:val="188"/>
        </w:trPr>
        <w:tc>
          <w:tcPr>
            <w:tcBorders>
              <w:bottom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Удельный вес работников, занятых во вредных и (или) опасных условиях труда, от общей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численности работников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bottom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годовая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bottom w:val="single" w:color="000000" w:sz="4" w:space="0"/>
            </w:tcBorders>
            <w:tcW w:w="16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дискретный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(за отчетный период)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</w:tc>
        <w:tc>
          <w:tcPr>
            <w:tcBorders>
              <w:bottom w:val="single" w:color="000000" w:sz="4" w:space="0"/>
            </w:tcBorders>
            <w:tcW w:w="673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  <w:t xml:space="preserve">Плановое значение:</w:t>
            </w: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Уд.раб.вр.пл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.= (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Чвр.пл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./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Чоб.р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.*100%) - К, где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Уд.раб.вр.пл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 – плановое значение удельного веса работников, занятых во вредных и (или) опасных условиях труда, установленное на отчетный период;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Чвр.пл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 </w:t>
            </w:r>
            <w:r>
              <w:rPr>
                <w:rFonts w:ascii="Times New Roman" w:hAnsi="Times New Roman"/>
                <w:sz w:val="21"/>
                <w:szCs w:val="21"/>
                <w:highlight w:val="none"/>
              </w:rPr>
              <w:t xml:space="preserve">– 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плановая численность работников, занятых во вредных и (или) опасных условиях труда, определенная на отчетный период;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Чоб.р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. – фактическое значение общей численности работников за предыдущий период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;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К </w:t>
            </w:r>
            <w:r>
              <w:rPr>
                <w:rFonts w:ascii="Times New Roman" w:hAnsi="Times New Roman"/>
                <w:sz w:val="21"/>
                <w:szCs w:val="21"/>
                <w:highlight w:val="none"/>
              </w:rPr>
              <w:t xml:space="preserve">–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показатель динамики убывания (процент), который определяется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с учетом прогнозируемой ситуации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исходя из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темпов роста объемов про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изводства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(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не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ниже 3%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ежегодно).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Плановое значение показателя на 2024 год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установлено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в сторону снижения от фактического значения за предыдущий период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на 3%.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  <w:t xml:space="preserve">Фактическое значение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: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Данные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Новосибирскстата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за отчетный период.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jc w:val="both"/>
              <w:spacing w:before="120" w:after="0" w:line="240" w:lineRule="auto"/>
              <w:rPr>
                <w:rFonts w:ascii="Times New Roman" w:hAnsi="Times New Roman"/>
                <w:b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Определяется на основании мер, запланированных в рамках реализации мероприятий (результатов):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  <w:t xml:space="preserve">541Х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000031,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  <w:t xml:space="preserve">541Х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000033,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  <w:t xml:space="preserve">541Х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000034,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highlight w:val="none"/>
              </w:rPr>
              <w:t xml:space="preserve">541Х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000621</w:t>
            </w: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</w:r>
          </w:p>
        </w:tc>
        <w:tc>
          <w:tcPr>
            <w:tcBorders>
              <w:bottom w:val="single" w:color="000000" w:sz="4" w:space="0"/>
            </w:tcBorders>
            <w:tcW w:w="29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Данные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Новосибирскстата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статсборник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(шифр издания adm-18-123) «О состоянии условий труда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работников, занятых во вредных и (или) опасных условиях труда, в организациях (без субъектов малого предпринимательства) Новосибирской области» (срок опубликования официальных данных </w:t>
            </w:r>
            <w:r>
              <w:rPr>
                <w:rFonts w:ascii="Times New Roman" w:hAnsi="Times New Roman"/>
                <w:sz w:val="21"/>
                <w:szCs w:val="21"/>
                <w:highlight w:val="none"/>
              </w:rPr>
              <w:t xml:space="preserve"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май месяц года, следующего за отчетным)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jc w:val="both"/>
        <w:spacing w:before="60" w:after="0" w:line="240" w:lineRule="auto"/>
        <w:rPr>
          <w:rFonts w:ascii="Times New Roman" w:hAnsi="Times New Roman"/>
          <w:b/>
          <w:sz w:val="21"/>
          <w:szCs w:val="21"/>
        </w:rPr>
      </w:pPr>
      <w:r>
        <w:rPr>
          <w:rFonts w:ascii="Times New Roman" w:hAnsi="Times New Roman"/>
          <w:b/>
          <w:sz w:val="21"/>
          <w:szCs w:val="21"/>
        </w:rPr>
        <w:t xml:space="preserve">Применяемые сокращения:</w:t>
      </w:r>
      <w:r>
        <w:rPr>
          <w:rFonts w:ascii="Times New Roman" w:hAnsi="Times New Roman"/>
          <w:b/>
          <w:sz w:val="21"/>
          <w:szCs w:val="21"/>
        </w:rPr>
      </w:r>
      <w:r>
        <w:rPr>
          <w:rFonts w:ascii="Times New Roman" w:hAnsi="Times New Roman"/>
          <w:b/>
          <w:sz w:val="21"/>
          <w:szCs w:val="21"/>
        </w:rPr>
      </w:r>
    </w:p>
    <w:p>
      <w:pPr>
        <w:jc w:val="both"/>
        <w:spacing w:after="0" w:line="240" w:lineRule="auto"/>
        <w:tabs>
          <w:tab w:val="left" w:pos="11625" w:leader="none"/>
        </w:tabs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ГИТ – Государственная инспекция труда в Новосибирской области;</w:t>
      </w:r>
      <w:r>
        <w:rPr>
          <w:rFonts w:ascii="Times New Roman" w:hAnsi="Times New Roman"/>
          <w:sz w:val="21"/>
          <w:szCs w:val="21"/>
        </w:rPr>
      </w:r>
      <w:r>
        <w:rPr>
          <w:rFonts w:ascii="Times New Roman" w:hAnsi="Times New Roman"/>
          <w:sz w:val="21"/>
          <w:szCs w:val="21"/>
        </w:rPr>
      </w:r>
    </w:p>
    <w:p>
      <w:pPr>
        <w:jc w:val="both"/>
        <w:spacing w:after="0" w:line="240" w:lineRule="auto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ОСФР по НСО – Отделение Фонда пенсионного и социального страхования Российской Федерации по Новосибирской области;</w:t>
      </w:r>
      <w:r>
        <w:rPr>
          <w:rFonts w:ascii="Times New Roman" w:hAnsi="Times New Roman"/>
          <w:sz w:val="21"/>
          <w:szCs w:val="21"/>
        </w:rPr>
      </w:r>
      <w:r>
        <w:rPr>
          <w:rFonts w:ascii="Times New Roman" w:hAnsi="Times New Roman"/>
          <w:sz w:val="21"/>
          <w:szCs w:val="21"/>
        </w:rPr>
      </w:r>
    </w:p>
    <w:p>
      <w:pPr>
        <w:jc w:val="both"/>
        <w:spacing w:after="0" w:line="240" w:lineRule="auto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Минтруда и </w:t>
      </w:r>
      <w:r>
        <w:rPr>
          <w:rFonts w:ascii="Times New Roman" w:hAnsi="Times New Roman"/>
          <w:sz w:val="21"/>
          <w:szCs w:val="21"/>
        </w:rPr>
        <w:t xml:space="preserve">соцразвития</w:t>
      </w:r>
      <w:r>
        <w:rPr>
          <w:rFonts w:ascii="Times New Roman" w:hAnsi="Times New Roman"/>
          <w:sz w:val="21"/>
          <w:szCs w:val="21"/>
        </w:rPr>
        <w:t xml:space="preserve"> НСО – министерство труда и социального развития Новосибирской области;</w:t>
      </w:r>
      <w:r>
        <w:rPr>
          <w:rFonts w:ascii="Times New Roman" w:hAnsi="Times New Roman"/>
          <w:sz w:val="21"/>
          <w:szCs w:val="21"/>
        </w:rPr>
      </w:r>
      <w:r>
        <w:rPr>
          <w:rFonts w:ascii="Times New Roman" w:hAnsi="Times New Roman"/>
          <w:sz w:val="21"/>
          <w:szCs w:val="21"/>
        </w:rPr>
      </w:r>
    </w:p>
    <w:p>
      <w:pPr>
        <w:jc w:val="both"/>
        <w:spacing w:after="0" w:line="240" w:lineRule="auto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Новосибирскстат</w:t>
      </w:r>
      <w:r>
        <w:rPr>
          <w:rFonts w:ascii="Times New Roman" w:hAnsi="Times New Roman"/>
          <w:sz w:val="21"/>
          <w:szCs w:val="21"/>
        </w:rPr>
        <w:t xml:space="preserve"> – Территориальный орган федеральной службы государственной статистики по Новосибирской области;</w:t>
      </w:r>
      <w:r>
        <w:rPr>
          <w:rFonts w:ascii="Times New Roman" w:hAnsi="Times New Roman"/>
          <w:sz w:val="21"/>
          <w:szCs w:val="21"/>
        </w:rPr>
      </w:r>
      <w:r>
        <w:rPr>
          <w:rFonts w:ascii="Times New Roman" w:hAnsi="Times New Roman"/>
          <w:sz w:val="21"/>
          <w:szCs w:val="21"/>
        </w:rPr>
      </w:r>
    </w:p>
    <w:p>
      <w:pPr>
        <w:jc w:val="both"/>
        <w:spacing w:after="0" w:line="240" w:lineRule="auto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Центры занятости населения – государственные казенные учреждения Новосибирской области центры занятости населения»;</w:t>
      </w:r>
      <w:r>
        <w:rPr>
          <w:rFonts w:ascii="Times New Roman" w:hAnsi="Times New Roman"/>
          <w:sz w:val="21"/>
          <w:szCs w:val="21"/>
        </w:rPr>
      </w:r>
      <w:r>
        <w:rPr>
          <w:rFonts w:ascii="Times New Roman" w:hAnsi="Times New Roman"/>
          <w:sz w:val="21"/>
          <w:szCs w:val="21"/>
        </w:rPr>
      </w:r>
    </w:p>
    <w:p>
      <w:pPr>
        <w:spacing w:after="0" w:line="240" w:lineRule="auto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ГИИС ЭБ – государственная интегрированная информационная система управления общественными финансами «Электронный бюджет».</w:t>
      </w:r>
      <w:r>
        <w:rPr>
          <w:rFonts w:ascii="Times New Roman" w:hAnsi="Times New Roman"/>
          <w:sz w:val="21"/>
          <w:szCs w:val="21"/>
        </w:rPr>
      </w:r>
      <w:r>
        <w:rPr>
          <w:rFonts w:ascii="Times New Roman" w:hAnsi="Times New Roman"/>
          <w:sz w:val="21"/>
          <w:szCs w:val="21"/>
        </w:rPr>
      </w:r>
    </w:p>
    <w:p>
      <w:pPr>
        <w:spacing w:after="0" w:line="240" w:lineRule="auto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  <w:r>
        <w:rPr>
          <w:rFonts w:ascii="Times New Roman" w:hAnsi="Times New Roman"/>
          <w:sz w:val="21"/>
          <w:szCs w:val="21"/>
        </w:rPr>
      </w:r>
      <w:r>
        <w:rPr>
          <w:rFonts w:ascii="Times New Roman" w:hAnsi="Times New Roman"/>
          <w:sz w:val="21"/>
          <w:szCs w:val="21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</w:t>
      </w:r>
      <w:r>
        <w:rPr>
          <w:rFonts w:ascii="Times New Roman" w:hAnsi="Times New Roman"/>
          <w:sz w:val="28"/>
          <w:szCs w:val="28"/>
        </w:rPr>
        <w:t xml:space="preserve">».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sectPr>
      <w:footnotePr/>
      <w:endnotePr/>
      <w:type w:val="nextPage"/>
      <w:pgSz w:w="16838" w:h="11906" w:orient="landscape"/>
      <w:pgMar w:top="1418" w:right="1134" w:bottom="567" w:left="1134" w:header="709" w:footer="783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79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74"/>
      <w:jc w:val="center"/>
      <w:rPr>
        <w:sz w:val="20"/>
        <w:szCs w:val="14"/>
      </w:rPr>
    </w:pPr>
    <w:fldSimple w:instr="PAGE \* MERGEFORMAT">
      <w:r>
        <w:rPr>
          <w:sz w:val="20"/>
          <w:szCs w:val="14"/>
        </w:rPr>
        <w:t xml:space="preserve">1</w:t>
      </w:r>
    </w:fldSimple>
    <w:r>
      <w:rPr>
        <w:sz w:val="20"/>
        <w:szCs w:val="14"/>
      </w:rPr>
    </w:r>
    <w:r>
      <w:rPr>
        <w:sz w:val="20"/>
        <w:szCs w:val="14"/>
      </w:rPr>
    </w:r>
    <w:r>
      <w:rPr>
        <w:sz w:val="20"/>
        <w:szCs w:val="14"/>
      </w:rPr>
    </w:r>
  </w:p>
  <w:p>
    <w:pPr>
      <w:pStyle w:val="874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74"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Times New Roman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92">
    <w:name w:val="Heading 1"/>
    <w:basedOn w:val="864"/>
    <w:next w:val="864"/>
    <w:link w:val="69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93">
    <w:name w:val="Heading 1 Char"/>
    <w:basedOn w:val="867"/>
    <w:link w:val="692"/>
    <w:uiPriority w:val="9"/>
    <w:rPr>
      <w:rFonts w:ascii="Arial" w:hAnsi="Arial" w:eastAsia="Arial" w:cs="Arial"/>
      <w:sz w:val="40"/>
      <w:szCs w:val="40"/>
    </w:rPr>
  </w:style>
  <w:style w:type="character" w:styleId="694">
    <w:name w:val="Heading 2 Char"/>
    <w:basedOn w:val="867"/>
    <w:link w:val="865"/>
    <w:uiPriority w:val="9"/>
    <w:rPr>
      <w:rFonts w:ascii="Arial" w:hAnsi="Arial" w:eastAsia="Arial" w:cs="Arial"/>
      <w:sz w:val="34"/>
    </w:rPr>
  </w:style>
  <w:style w:type="paragraph" w:styleId="695">
    <w:name w:val="Heading 3"/>
    <w:basedOn w:val="864"/>
    <w:next w:val="864"/>
    <w:link w:val="69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96">
    <w:name w:val="Heading 3 Char"/>
    <w:basedOn w:val="867"/>
    <w:link w:val="695"/>
    <w:uiPriority w:val="9"/>
    <w:rPr>
      <w:rFonts w:ascii="Arial" w:hAnsi="Arial" w:eastAsia="Arial" w:cs="Arial"/>
      <w:sz w:val="30"/>
      <w:szCs w:val="30"/>
    </w:rPr>
  </w:style>
  <w:style w:type="character" w:styleId="697">
    <w:name w:val="Heading 4 Char"/>
    <w:basedOn w:val="867"/>
    <w:link w:val="866"/>
    <w:uiPriority w:val="9"/>
    <w:rPr>
      <w:rFonts w:ascii="Arial" w:hAnsi="Arial" w:eastAsia="Arial" w:cs="Arial"/>
      <w:b/>
      <w:bCs/>
      <w:sz w:val="26"/>
      <w:szCs w:val="26"/>
    </w:rPr>
  </w:style>
  <w:style w:type="paragraph" w:styleId="698">
    <w:name w:val="Heading 5"/>
    <w:basedOn w:val="864"/>
    <w:next w:val="864"/>
    <w:link w:val="69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99">
    <w:name w:val="Heading 5 Char"/>
    <w:basedOn w:val="867"/>
    <w:link w:val="698"/>
    <w:uiPriority w:val="9"/>
    <w:rPr>
      <w:rFonts w:ascii="Arial" w:hAnsi="Arial" w:eastAsia="Arial" w:cs="Arial"/>
      <w:b/>
      <w:bCs/>
      <w:sz w:val="24"/>
      <w:szCs w:val="24"/>
    </w:rPr>
  </w:style>
  <w:style w:type="paragraph" w:styleId="700">
    <w:name w:val="Heading 6"/>
    <w:basedOn w:val="864"/>
    <w:next w:val="864"/>
    <w:link w:val="70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01">
    <w:name w:val="Heading 6 Char"/>
    <w:basedOn w:val="867"/>
    <w:link w:val="700"/>
    <w:uiPriority w:val="9"/>
    <w:rPr>
      <w:rFonts w:ascii="Arial" w:hAnsi="Arial" w:eastAsia="Arial" w:cs="Arial"/>
      <w:b/>
      <w:bCs/>
      <w:sz w:val="22"/>
      <w:szCs w:val="22"/>
    </w:rPr>
  </w:style>
  <w:style w:type="paragraph" w:styleId="702">
    <w:name w:val="Heading 7"/>
    <w:basedOn w:val="864"/>
    <w:next w:val="864"/>
    <w:link w:val="70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03">
    <w:name w:val="Heading 7 Char"/>
    <w:basedOn w:val="867"/>
    <w:link w:val="70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04">
    <w:name w:val="Heading 8"/>
    <w:basedOn w:val="864"/>
    <w:next w:val="864"/>
    <w:link w:val="70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05">
    <w:name w:val="Heading 8 Char"/>
    <w:basedOn w:val="867"/>
    <w:link w:val="704"/>
    <w:uiPriority w:val="9"/>
    <w:rPr>
      <w:rFonts w:ascii="Arial" w:hAnsi="Arial" w:eastAsia="Arial" w:cs="Arial"/>
      <w:i/>
      <w:iCs/>
      <w:sz w:val="22"/>
      <w:szCs w:val="22"/>
    </w:rPr>
  </w:style>
  <w:style w:type="paragraph" w:styleId="706">
    <w:name w:val="Heading 9"/>
    <w:basedOn w:val="864"/>
    <w:next w:val="864"/>
    <w:link w:val="70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07">
    <w:name w:val="Heading 9 Char"/>
    <w:basedOn w:val="867"/>
    <w:link w:val="706"/>
    <w:uiPriority w:val="9"/>
    <w:rPr>
      <w:rFonts w:ascii="Arial" w:hAnsi="Arial" w:eastAsia="Arial" w:cs="Arial"/>
      <w:i/>
      <w:iCs/>
      <w:sz w:val="21"/>
      <w:szCs w:val="21"/>
    </w:rPr>
  </w:style>
  <w:style w:type="paragraph" w:styleId="708">
    <w:name w:val="List Paragraph"/>
    <w:basedOn w:val="864"/>
    <w:uiPriority w:val="34"/>
    <w:qFormat/>
    <w:pPr>
      <w:contextualSpacing/>
      <w:ind w:left="720"/>
    </w:pPr>
  </w:style>
  <w:style w:type="paragraph" w:styleId="709">
    <w:name w:val="No Spacing"/>
    <w:uiPriority w:val="1"/>
    <w:qFormat/>
    <w:pPr>
      <w:spacing w:before="0" w:after="0" w:line="240" w:lineRule="auto"/>
    </w:pPr>
  </w:style>
  <w:style w:type="paragraph" w:styleId="710">
    <w:name w:val="Title"/>
    <w:basedOn w:val="864"/>
    <w:next w:val="864"/>
    <w:link w:val="71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11">
    <w:name w:val="Title Char"/>
    <w:basedOn w:val="867"/>
    <w:link w:val="710"/>
    <w:uiPriority w:val="10"/>
    <w:rPr>
      <w:sz w:val="48"/>
      <w:szCs w:val="48"/>
    </w:rPr>
  </w:style>
  <w:style w:type="paragraph" w:styleId="712">
    <w:name w:val="Subtitle"/>
    <w:basedOn w:val="864"/>
    <w:next w:val="864"/>
    <w:link w:val="713"/>
    <w:uiPriority w:val="11"/>
    <w:qFormat/>
    <w:pPr>
      <w:spacing w:before="200" w:after="200"/>
    </w:pPr>
    <w:rPr>
      <w:sz w:val="24"/>
      <w:szCs w:val="24"/>
    </w:rPr>
  </w:style>
  <w:style w:type="character" w:styleId="713">
    <w:name w:val="Subtitle Char"/>
    <w:basedOn w:val="867"/>
    <w:link w:val="712"/>
    <w:uiPriority w:val="11"/>
    <w:rPr>
      <w:sz w:val="24"/>
      <w:szCs w:val="24"/>
    </w:rPr>
  </w:style>
  <w:style w:type="paragraph" w:styleId="714">
    <w:name w:val="Quote"/>
    <w:basedOn w:val="864"/>
    <w:next w:val="864"/>
    <w:link w:val="715"/>
    <w:uiPriority w:val="29"/>
    <w:qFormat/>
    <w:pPr>
      <w:ind w:left="720" w:right="720"/>
    </w:pPr>
    <w:rPr>
      <w:i/>
    </w:rPr>
  </w:style>
  <w:style w:type="character" w:styleId="715">
    <w:name w:val="Quote Char"/>
    <w:link w:val="714"/>
    <w:uiPriority w:val="29"/>
    <w:rPr>
      <w:i/>
    </w:rPr>
  </w:style>
  <w:style w:type="paragraph" w:styleId="716">
    <w:name w:val="Intense Quote"/>
    <w:basedOn w:val="864"/>
    <w:next w:val="864"/>
    <w:link w:val="71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17">
    <w:name w:val="Intense Quote Char"/>
    <w:link w:val="716"/>
    <w:uiPriority w:val="30"/>
    <w:rPr>
      <w:i/>
    </w:rPr>
  </w:style>
  <w:style w:type="character" w:styleId="718">
    <w:name w:val="Header Char"/>
    <w:basedOn w:val="867"/>
    <w:link w:val="874"/>
    <w:uiPriority w:val="99"/>
  </w:style>
  <w:style w:type="character" w:styleId="719">
    <w:name w:val="Footer Char"/>
    <w:basedOn w:val="867"/>
    <w:link w:val="879"/>
    <w:uiPriority w:val="99"/>
  </w:style>
  <w:style w:type="paragraph" w:styleId="720">
    <w:name w:val="Caption"/>
    <w:basedOn w:val="864"/>
    <w:next w:val="864"/>
    <w:link w:val="72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21">
    <w:name w:val="Caption Char"/>
    <w:basedOn w:val="720"/>
    <w:link w:val="879"/>
    <w:uiPriority w:val="99"/>
  </w:style>
  <w:style w:type="table" w:styleId="722">
    <w:name w:val="Table Grid Light"/>
    <w:basedOn w:val="86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23">
    <w:name w:val="Plain Table 1"/>
    <w:basedOn w:val="86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4">
    <w:name w:val="Plain Table 2"/>
    <w:basedOn w:val="86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5">
    <w:name w:val="Plain Table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26">
    <w:name w:val="Plain Table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Plain Table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8">
    <w:name w:val="Grid Table 1 Light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9">
    <w:name w:val="Grid Table 1 Light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0">
    <w:name w:val="Grid Table 1 Light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1">
    <w:name w:val="Grid Table 1 Light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2">
    <w:name w:val="Grid Table 1 Light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3">
    <w:name w:val="Grid Table 1 Light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4">
    <w:name w:val="Grid Table 1 Light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5">
    <w:name w:val="Grid Table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2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2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2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2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2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2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3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3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3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3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3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3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4"/>
    <w:basedOn w:val="86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0">
    <w:name w:val="Grid Table 4 - Accent 1"/>
    <w:basedOn w:val="86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51">
    <w:name w:val="Grid Table 4 - Accent 2"/>
    <w:basedOn w:val="86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52">
    <w:name w:val="Grid Table 4 - Accent 3"/>
    <w:basedOn w:val="86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53">
    <w:name w:val="Grid Table 4 - Accent 4"/>
    <w:basedOn w:val="86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54">
    <w:name w:val="Grid Table 4 - Accent 5"/>
    <w:basedOn w:val="86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55">
    <w:name w:val="Grid Table 4 - Accent 6"/>
    <w:basedOn w:val="86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56">
    <w:name w:val="Grid Table 5 Dark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57">
    <w:name w:val="Grid Table 5 Dark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58">
    <w:name w:val="Grid Table 5 Dark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59">
    <w:name w:val="Grid Table 5 Dark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60">
    <w:name w:val="Grid Table 5 Dark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61">
    <w:name w:val="Grid Table 5 Dark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62">
    <w:name w:val="Grid Table 5 Dark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63">
    <w:name w:val="Grid Table 6 Colorful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64">
    <w:name w:val="Grid Table 6 Colorful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65">
    <w:name w:val="Grid Table 6 Colorful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66">
    <w:name w:val="Grid Table 6 Colorful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67">
    <w:name w:val="Grid Table 6 Colorful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68">
    <w:name w:val="Grid Table 6 Colorful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9">
    <w:name w:val="Grid Table 6 Colorful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0">
    <w:name w:val="Grid Table 7 Colorful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7 Colorful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7 Colorful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7 Colorful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7 Colorful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7 Colorful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Grid Table 7 Colorful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List Table 1 Light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List Table 1 Light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List Table 1 Light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List Table 1 Light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List Table 1 Light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List Table 1 Light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List Table 1 Light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List Table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85">
    <w:name w:val="List Table 2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86">
    <w:name w:val="List Table 2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87">
    <w:name w:val="List Table 2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88">
    <w:name w:val="List Table 2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9">
    <w:name w:val="List Table 2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90">
    <w:name w:val="List Table 2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91">
    <w:name w:val="List Table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3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3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3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3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3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3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List Table 4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List Table 4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List Table 4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List Table 4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List Table 4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List Table 4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List Table 5 Dark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6">
    <w:name w:val="List Table 5 Dark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7">
    <w:name w:val="List Table 5 Dark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8">
    <w:name w:val="List Table 5 Dark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9">
    <w:name w:val="List Table 5 Dark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0">
    <w:name w:val="List Table 5 Dark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1">
    <w:name w:val="List Table 5 Dark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2">
    <w:name w:val="List Table 6 Colorful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13">
    <w:name w:val="List Table 6 Colorful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14">
    <w:name w:val="List Table 6 Colorful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15">
    <w:name w:val="List Table 6 Colorful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16">
    <w:name w:val="List Table 6 Colorful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17">
    <w:name w:val="List Table 6 Colorful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18">
    <w:name w:val="List Table 6 Colorful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9">
    <w:name w:val="List Table 7 Colorful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20">
    <w:name w:val="List Table 7 Colorful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21">
    <w:name w:val="List Table 7 Colorful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22">
    <w:name w:val="List Table 7 Colorful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23">
    <w:name w:val="List Table 7 Colorful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24">
    <w:name w:val="List Table 7 Colorful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25">
    <w:name w:val="List Table 7 Colorful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26">
    <w:name w:val="Lined - Accent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7">
    <w:name w:val="Lined - Accent 1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8">
    <w:name w:val="Lined - Accent 2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9">
    <w:name w:val="Lined - Accent 3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30">
    <w:name w:val="Lined - Accent 4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31">
    <w:name w:val="Lined - Accent 5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2">
    <w:name w:val="Lined - Accent 6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3">
    <w:name w:val="Bordered &amp; Lined - Accent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34">
    <w:name w:val="Bordered &amp; Lined - Accent 1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35">
    <w:name w:val="Bordered &amp; Lined - Accent 2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36">
    <w:name w:val="Bordered &amp; Lined - Accent 3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37">
    <w:name w:val="Bordered &amp; Lined - Accent 4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38">
    <w:name w:val="Bordered &amp; Lined - Accent 5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9">
    <w:name w:val="Bordered &amp; Lined - Accent 6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40">
    <w:name w:val="Bordered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41">
    <w:name w:val="Bordered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42">
    <w:name w:val="Bordered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43">
    <w:name w:val="Bordered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44">
    <w:name w:val="Bordered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45">
    <w:name w:val="Bordered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46">
    <w:name w:val="Bordered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47">
    <w:name w:val="footnote text"/>
    <w:basedOn w:val="864"/>
    <w:link w:val="848"/>
    <w:uiPriority w:val="99"/>
    <w:semiHidden/>
    <w:unhideWhenUsed/>
    <w:pPr>
      <w:spacing w:after="40" w:line="240" w:lineRule="auto"/>
    </w:pPr>
    <w:rPr>
      <w:sz w:val="18"/>
    </w:rPr>
  </w:style>
  <w:style w:type="character" w:styleId="848">
    <w:name w:val="Footnote Text Char"/>
    <w:link w:val="847"/>
    <w:uiPriority w:val="99"/>
    <w:rPr>
      <w:sz w:val="18"/>
    </w:rPr>
  </w:style>
  <w:style w:type="character" w:styleId="849">
    <w:name w:val="footnote reference"/>
    <w:basedOn w:val="867"/>
    <w:uiPriority w:val="99"/>
    <w:unhideWhenUsed/>
    <w:rPr>
      <w:vertAlign w:val="superscript"/>
    </w:rPr>
  </w:style>
  <w:style w:type="paragraph" w:styleId="850">
    <w:name w:val="endnote text"/>
    <w:basedOn w:val="864"/>
    <w:link w:val="851"/>
    <w:uiPriority w:val="99"/>
    <w:semiHidden/>
    <w:unhideWhenUsed/>
    <w:pPr>
      <w:spacing w:after="0" w:line="240" w:lineRule="auto"/>
    </w:pPr>
    <w:rPr>
      <w:sz w:val="20"/>
    </w:rPr>
  </w:style>
  <w:style w:type="character" w:styleId="851">
    <w:name w:val="Endnote Text Char"/>
    <w:link w:val="850"/>
    <w:uiPriority w:val="99"/>
    <w:rPr>
      <w:sz w:val="20"/>
    </w:rPr>
  </w:style>
  <w:style w:type="character" w:styleId="852">
    <w:name w:val="endnote reference"/>
    <w:basedOn w:val="867"/>
    <w:uiPriority w:val="99"/>
    <w:semiHidden/>
    <w:unhideWhenUsed/>
    <w:rPr>
      <w:vertAlign w:val="superscript"/>
    </w:rPr>
  </w:style>
  <w:style w:type="paragraph" w:styleId="853">
    <w:name w:val="toc 1"/>
    <w:basedOn w:val="864"/>
    <w:next w:val="864"/>
    <w:uiPriority w:val="39"/>
    <w:unhideWhenUsed/>
    <w:pPr>
      <w:ind w:left="0" w:right="0" w:firstLine="0"/>
      <w:spacing w:after="57"/>
    </w:pPr>
  </w:style>
  <w:style w:type="paragraph" w:styleId="854">
    <w:name w:val="toc 2"/>
    <w:basedOn w:val="864"/>
    <w:next w:val="864"/>
    <w:uiPriority w:val="39"/>
    <w:unhideWhenUsed/>
    <w:pPr>
      <w:ind w:left="283" w:right="0" w:firstLine="0"/>
      <w:spacing w:after="57"/>
    </w:pPr>
  </w:style>
  <w:style w:type="paragraph" w:styleId="855">
    <w:name w:val="toc 3"/>
    <w:basedOn w:val="864"/>
    <w:next w:val="864"/>
    <w:uiPriority w:val="39"/>
    <w:unhideWhenUsed/>
    <w:pPr>
      <w:ind w:left="567" w:right="0" w:firstLine="0"/>
      <w:spacing w:after="57"/>
    </w:pPr>
  </w:style>
  <w:style w:type="paragraph" w:styleId="856">
    <w:name w:val="toc 4"/>
    <w:basedOn w:val="864"/>
    <w:next w:val="864"/>
    <w:uiPriority w:val="39"/>
    <w:unhideWhenUsed/>
    <w:pPr>
      <w:ind w:left="850" w:right="0" w:firstLine="0"/>
      <w:spacing w:after="57"/>
    </w:pPr>
  </w:style>
  <w:style w:type="paragraph" w:styleId="857">
    <w:name w:val="toc 5"/>
    <w:basedOn w:val="864"/>
    <w:next w:val="864"/>
    <w:uiPriority w:val="39"/>
    <w:unhideWhenUsed/>
    <w:pPr>
      <w:ind w:left="1134" w:right="0" w:firstLine="0"/>
      <w:spacing w:after="57"/>
    </w:pPr>
  </w:style>
  <w:style w:type="paragraph" w:styleId="858">
    <w:name w:val="toc 6"/>
    <w:basedOn w:val="864"/>
    <w:next w:val="864"/>
    <w:uiPriority w:val="39"/>
    <w:unhideWhenUsed/>
    <w:pPr>
      <w:ind w:left="1417" w:right="0" w:firstLine="0"/>
      <w:spacing w:after="57"/>
    </w:pPr>
  </w:style>
  <w:style w:type="paragraph" w:styleId="859">
    <w:name w:val="toc 7"/>
    <w:basedOn w:val="864"/>
    <w:next w:val="864"/>
    <w:uiPriority w:val="39"/>
    <w:unhideWhenUsed/>
    <w:pPr>
      <w:ind w:left="1701" w:right="0" w:firstLine="0"/>
      <w:spacing w:after="57"/>
    </w:pPr>
  </w:style>
  <w:style w:type="paragraph" w:styleId="860">
    <w:name w:val="toc 8"/>
    <w:basedOn w:val="864"/>
    <w:next w:val="864"/>
    <w:uiPriority w:val="39"/>
    <w:unhideWhenUsed/>
    <w:pPr>
      <w:ind w:left="1984" w:right="0" w:firstLine="0"/>
      <w:spacing w:after="57"/>
    </w:pPr>
  </w:style>
  <w:style w:type="paragraph" w:styleId="861">
    <w:name w:val="toc 9"/>
    <w:basedOn w:val="864"/>
    <w:next w:val="864"/>
    <w:uiPriority w:val="39"/>
    <w:unhideWhenUsed/>
    <w:pPr>
      <w:ind w:left="2268" w:right="0" w:firstLine="0"/>
      <w:spacing w:after="57"/>
    </w:pPr>
  </w:style>
  <w:style w:type="paragraph" w:styleId="862">
    <w:name w:val="TOC Heading"/>
    <w:uiPriority w:val="39"/>
    <w:unhideWhenUsed/>
  </w:style>
  <w:style w:type="paragraph" w:styleId="863">
    <w:name w:val="table of figures"/>
    <w:basedOn w:val="864"/>
    <w:next w:val="864"/>
    <w:uiPriority w:val="99"/>
    <w:unhideWhenUsed/>
    <w:pPr>
      <w:spacing w:after="0" w:afterAutospacing="0"/>
    </w:pPr>
  </w:style>
  <w:style w:type="paragraph" w:styleId="864" w:default="1">
    <w:name w:val="Normal"/>
    <w:qFormat/>
    <w:pPr>
      <w:spacing w:after="200" w:line="276" w:lineRule="auto"/>
    </w:pPr>
    <w:rPr>
      <w:sz w:val="22"/>
      <w:szCs w:val="22"/>
    </w:rPr>
  </w:style>
  <w:style w:type="paragraph" w:styleId="865">
    <w:name w:val="Heading 2"/>
    <w:basedOn w:val="864"/>
    <w:next w:val="864"/>
    <w:link w:val="881"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866">
    <w:name w:val="Heading 4"/>
    <w:basedOn w:val="864"/>
    <w:next w:val="864"/>
    <w:link w:val="876"/>
    <w:qFormat/>
    <w:pPr>
      <w:keepNext/>
      <w:spacing w:after="0" w:line="240" w:lineRule="auto"/>
      <w:outlineLvl w:val="3"/>
    </w:pPr>
    <w:rPr>
      <w:rFonts w:ascii="Times New Roman" w:hAnsi="Times New Roman"/>
      <w:sz w:val="28"/>
      <w:szCs w:val="20"/>
    </w:rPr>
  </w:style>
  <w:style w:type="character" w:styleId="867" w:default="1">
    <w:name w:val="Default Paragraph Font"/>
    <w:uiPriority w:val="1"/>
    <w:semiHidden/>
    <w:unhideWhenUsed/>
  </w:style>
  <w:style w:type="table" w:styleId="86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69" w:default="1">
    <w:name w:val="No List"/>
    <w:uiPriority w:val="99"/>
    <w:semiHidden/>
    <w:unhideWhenUsed/>
  </w:style>
  <w:style w:type="paragraph" w:styleId="870">
    <w:name w:val="Balloon Text"/>
    <w:basedOn w:val="864"/>
    <w:link w:val="871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71" w:customStyle="1">
    <w:name w:val="Текст выноски Знак"/>
    <w:basedOn w:val="867"/>
    <w:link w:val="870"/>
    <w:uiPriority w:val="99"/>
    <w:semiHidden/>
    <w:rPr>
      <w:rFonts w:ascii="Tahoma" w:hAnsi="Tahoma" w:cs="Tahoma"/>
      <w:sz w:val="16"/>
      <w:szCs w:val="16"/>
    </w:rPr>
  </w:style>
  <w:style w:type="table" w:styleId="872">
    <w:name w:val="Table Grid"/>
    <w:basedOn w:val="868"/>
    <w:uiPriority w:val="99"/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873">
    <w:name w:val="Hyperlink"/>
    <w:basedOn w:val="867"/>
    <w:uiPriority w:val="99"/>
    <w:rPr>
      <w:rFonts w:cs="Times New Roman"/>
      <w:color w:val="0000ff"/>
      <w:u w:val="single"/>
    </w:rPr>
  </w:style>
  <w:style w:type="paragraph" w:styleId="874">
    <w:name w:val="Header"/>
    <w:basedOn w:val="864"/>
    <w:link w:val="875"/>
    <w:uiPriority w:val="99"/>
    <w:pPr>
      <w:ind w:firstLine="709"/>
      <w:jc w:val="both"/>
      <w:spacing w:after="0" w:line="240" w:lineRule="auto"/>
      <w:tabs>
        <w:tab w:val="center" w:pos="4536" w:leader="none"/>
        <w:tab w:val="right" w:pos="9072" w:leader="none"/>
      </w:tabs>
    </w:pPr>
    <w:rPr>
      <w:rFonts w:ascii="Times New Roman" w:hAnsi="Times New Roman"/>
      <w:sz w:val="28"/>
      <w:szCs w:val="20"/>
    </w:rPr>
  </w:style>
  <w:style w:type="character" w:styleId="875" w:customStyle="1">
    <w:name w:val="Верхний колонтитул Знак"/>
    <w:basedOn w:val="867"/>
    <w:link w:val="874"/>
    <w:uiPriority w:val="99"/>
    <w:rPr>
      <w:rFonts w:ascii="Times New Roman" w:hAnsi="Times New Roman" w:cs="Times New Roman"/>
      <w:sz w:val="20"/>
      <w:szCs w:val="20"/>
    </w:rPr>
  </w:style>
  <w:style w:type="character" w:styleId="876" w:customStyle="1">
    <w:name w:val="Заголовок 4 Знак"/>
    <w:basedOn w:val="867"/>
    <w:link w:val="866"/>
    <w:rPr>
      <w:rFonts w:ascii="Times New Roman" w:hAnsi="Times New Roman"/>
      <w:sz w:val="28"/>
      <w:szCs w:val="20"/>
    </w:rPr>
  </w:style>
  <w:style w:type="paragraph" w:styleId="877">
    <w:name w:val="Body Text"/>
    <w:basedOn w:val="864"/>
    <w:link w:val="878"/>
    <w:pPr>
      <w:jc w:val="both"/>
      <w:spacing w:after="0" w:line="240" w:lineRule="auto"/>
    </w:pPr>
    <w:rPr>
      <w:rFonts w:ascii="Times New Roman" w:hAnsi="Times New Roman"/>
      <w:sz w:val="28"/>
      <w:szCs w:val="20"/>
    </w:rPr>
  </w:style>
  <w:style w:type="character" w:styleId="878" w:customStyle="1">
    <w:name w:val="Основной текст Знак"/>
    <w:basedOn w:val="867"/>
    <w:link w:val="877"/>
    <w:rPr>
      <w:rFonts w:ascii="Times New Roman" w:hAnsi="Times New Roman"/>
      <w:sz w:val="28"/>
      <w:szCs w:val="20"/>
    </w:rPr>
  </w:style>
  <w:style w:type="paragraph" w:styleId="879">
    <w:name w:val="Footer"/>
    <w:basedOn w:val="864"/>
    <w:link w:val="880"/>
    <w:pPr>
      <w:spacing w:after="0" w:line="240" w:lineRule="auto"/>
      <w:tabs>
        <w:tab w:val="center" w:pos="4153" w:leader="none"/>
        <w:tab w:val="right" w:pos="8306" w:leader="none"/>
      </w:tabs>
    </w:pPr>
    <w:rPr>
      <w:rFonts w:ascii="Times New Roman" w:hAnsi="Times New Roman"/>
      <w:sz w:val="28"/>
      <w:szCs w:val="20"/>
    </w:rPr>
  </w:style>
  <w:style w:type="character" w:styleId="880" w:customStyle="1">
    <w:name w:val="Нижний колонтитул Знак"/>
    <w:basedOn w:val="867"/>
    <w:link w:val="879"/>
    <w:rPr>
      <w:rFonts w:ascii="Times New Roman" w:hAnsi="Times New Roman"/>
      <w:sz w:val="28"/>
      <w:szCs w:val="20"/>
    </w:rPr>
  </w:style>
  <w:style w:type="character" w:styleId="881" w:customStyle="1">
    <w:name w:val="Заголовок 2 Знак"/>
    <w:basedOn w:val="867"/>
    <w:link w:val="865"/>
    <w:rPr>
      <w:rFonts w:ascii="Cambria" w:hAnsi="Cambria" w:eastAsia="Times New Roman" w:cs="Times New Roman"/>
      <w:b/>
      <w:bCs/>
      <w:i/>
      <w:iCs/>
      <w:sz w:val="28"/>
      <w:szCs w:val="28"/>
    </w:rPr>
  </w:style>
  <w:style w:type="paragraph" w:styleId="882">
    <w:name w:val="Body Text Indent"/>
    <w:basedOn w:val="864"/>
    <w:link w:val="883"/>
    <w:uiPriority w:val="99"/>
    <w:unhideWhenUsed/>
    <w:pPr>
      <w:ind w:left="283"/>
      <w:spacing w:after="120"/>
    </w:pPr>
  </w:style>
  <w:style w:type="character" w:styleId="883" w:customStyle="1">
    <w:name w:val="Основной текст с отступом Знак"/>
    <w:basedOn w:val="867"/>
    <w:link w:val="882"/>
    <w:uiPriority w:val="99"/>
    <w:rPr>
      <w:sz w:val="22"/>
      <w:szCs w:val="22"/>
    </w:rPr>
  </w:style>
  <w:style w:type="paragraph" w:styleId="884" w:customStyle="1">
    <w:name w:val="ConsPlusNormal"/>
    <w:uiPriority w:val="99"/>
    <w:qFormat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Times New Roman" w:cs="Arial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885" w:customStyle="1">
    <w:name w:val="Обычный1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footer" Target="footer1.xml" /><Relationship Id="rId11" Type="http://schemas.openxmlformats.org/officeDocument/2006/relationships/customXml" Target="../customXml/item1.xml" /><Relationship Id="rId12" Type="http://schemas.openxmlformats.org/officeDocument/2006/relationships/image" Target="media/image1.png"/><Relationship Id="rId13" Type="http://schemas.openxmlformats.org/officeDocument/2006/relationships/image" Target="media/media1.sv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8605E-878E-452A-9407-D2521A888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>dtsr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ob-priem</dc:creator>
  <cp:lastModifiedBy>shok@NSO.LOC</cp:lastModifiedBy>
  <cp:revision>8</cp:revision>
  <dcterms:created xsi:type="dcterms:W3CDTF">2023-10-16T07:59:00Z</dcterms:created>
  <dcterms:modified xsi:type="dcterms:W3CDTF">2026-01-20T09:54:47Z</dcterms:modified>
</cp:coreProperties>
</file>