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954"/>
        <w:jc w:val="center"/>
        <w:rPr>
          <w:rStyle w:val="869"/>
          <w:b w:val="0"/>
          <w:color w:val="000000"/>
          <w:sz w:val="28"/>
          <w:szCs w:val="28"/>
        </w:rPr>
      </w:pPr>
      <w:r/>
      <w:bookmarkStart w:id="0" w:name="_GoBack"/>
      <w:r/>
      <w:bookmarkEnd w:id="0"/>
      <w:r>
        <w:rPr>
          <w:rStyle w:val="869"/>
          <w:b w:val="0"/>
          <w:color w:val="000000"/>
          <w:sz w:val="28"/>
          <w:szCs w:val="28"/>
        </w:rPr>
        <w:t xml:space="preserve">Проект</w:t>
      </w:r>
      <w:r>
        <w:rPr>
          <w:rStyle w:val="869"/>
          <w:b w:val="0"/>
          <w:color w:val="000000"/>
          <w:sz w:val="28"/>
          <w:szCs w:val="28"/>
        </w:rPr>
      </w:r>
      <w:r>
        <w:rPr>
          <w:rStyle w:val="869"/>
          <w:b w:val="0"/>
          <w:color w:val="000000"/>
          <w:sz w:val="28"/>
          <w:szCs w:val="28"/>
        </w:rPr>
      </w:r>
    </w:p>
    <w:p>
      <w:pPr>
        <w:ind w:firstLine="5954"/>
        <w:jc w:val="center"/>
        <w:rPr>
          <w:rStyle w:val="869"/>
          <w:b w:val="0"/>
          <w:color w:val="000000"/>
          <w:sz w:val="28"/>
          <w:szCs w:val="28"/>
        </w:rPr>
      </w:pPr>
      <w:r>
        <w:rPr>
          <w:rStyle w:val="869"/>
          <w:b w:val="0"/>
          <w:color w:val="000000"/>
          <w:sz w:val="28"/>
          <w:szCs w:val="28"/>
        </w:rPr>
        <w:t xml:space="preserve">постановления Правительства</w:t>
      </w:r>
      <w:r>
        <w:rPr>
          <w:rStyle w:val="869"/>
          <w:b w:val="0"/>
          <w:color w:val="000000"/>
          <w:sz w:val="28"/>
          <w:szCs w:val="28"/>
        </w:rPr>
      </w:r>
      <w:r>
        <w:rPr>
          <w:rStyle w:val="869"/>
          <w:b w:val="0"/>
          <w:color w:val="000000"/>
          <w:sz w:val="28"/>
          <w:szCs w:val="28"/>
        </w:rPr>
      </w:r>
    </w:p>
    <w:p>
      <w:pPr>
        <w:ind w:firstLine="5954"/>
        <w:jc w:val="center"/>
        <w:rPr>
          <w:rStyle w:val="869"/>
          <w:b w:val="0"/>
          <w:color w:val="000000"/>
          <w:sz w:val="28"/>
          <w:szCs w:val="28"/>
        </w:rPr>
      </w:pPr>
      <w:r>
        <w:rPr>
          <w:rStyle w:val="869"/>
          <w:b w:val="0"/>
          <w:color w:val="000000"/>
          <w:sz w:val="28"/>
          <w:szCs w:val="28"/>
        </w:rPr>
        <w:t xml:space="preserve">Новосибирской области</w:t>
      </w:r>
      <w:r>
        <w:rPr>
          <w:rStyle w:val="869"/>
          <w:b w:val="0"/>
          <w:color w:val="000000"/>
          <w:sz w:val="28"/>
          <w:szCs w:val="28"/>
        </w:rPr>
      </w:r>
      <w:r>
        <w:rPr>
          <w:rStyle w:val="869"/>
          <w:b w:val="0"/>
          <w:color w:val="000000"/>
          <w:sz w:val="28"/>
          <w:szCs w:val="28"/>
        </w:rPr>
      </w:r>
    </w:p>
    <w:p>
      <w:pPr>
        <w:jc w:val="center"/>
        <w:spacing w:after="1" w:line="200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center"/>
        <w:spacing w:after="1" w:line="200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center"/>
        <w:spacing w:after="1" w:line="200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center"/>
        <w:spacing w:after="1" w:line="200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center"/>
        <w:spacing w:after="1" w:line="200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center"/>
        <w:spacing w:after="1" w:line="200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center"/>
        <w:spacing w:after="1" w:line="200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center"/>
        <w:spacing w:after="1" w:line="200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center"/>
        <w:spacing w:after="1" w:line="200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center"/>
        <w:spacing w:after="1" w:line="200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center"/>
        <w:spacing w:before="0" w:after="1" w:line="2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отдельные постановления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Правительства Новосибирской области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40"/>
        <w:jc w:val="both"/>
        <w:rPr>
          <w:rFonts w:eastAsia="Calibri"/>
          <w:sz w:val="20"/>
          <w:szCs w:val="20"/>
        </w:rPr>
        <w:outlineLvl w:val="0"/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ind w:firstLine="540"/>
        <w:jc w:val="both"/>
        <w:rPr>
          <w:rFonts w:eastAsia="Calibri"/>
          <w:sz w:val="20"/>
          <w:szCs w:val="20"/>
        </w:rPr>
        <w:outlineLvl w:val="0"/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постановление Правительства Новосибирской области от</w:t>
      </w:r>
      <w:r>
        <w:rPr>
          <w:sz w:val="28"/>
          <w:szCs w:val="28"/>
        </w:rPr>
        <w:t xml:space="preserve"> 11.02.2020 № 23-п «</w:t>
      </w:r>
      <w:r>
        <w:rPr>
          <w:sz w:val="28"/>
          <w:szCs w:val="28"/>
        </w:rPr>
        <w:t xml:space="preserve">О Порядке предоставления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</w:t>
      </w:r>
      <w:r>
        <w:rPr>
          <w:sz w:val="28"/>
          <w:szCs w:val="28"/>
        </w:rPr>
        <w:t xml:space="preserve">»</w:t>
      </w:r>
      <w:r>
        <w:t xml:space="preserve">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Порядке </w:t>
      </w:r>
      <w:r>
        <w:rPr>
          <w:sz w:val="28"/>
          <w:szCs w:val="28"/>
        </w:rPr>
        <w:t xml:space="preserve">предоставления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1) </w:t>
      </w:r>
      <w:r>
        <w:rPr>
          <w:sz w:val="28"/>
          <w:szCs w:val="28"/>
        </w:rPr>
        <w:t xml:space="preserve">пункт 4.3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«4.3. </w:t>
      </w:r>
      <w:r>
        <w:rPr>
          <w:sz w:val="28"/>
          <w:szCs w:val="28"/>
        </w:rPr>
        <w:t xml:space="preserve">При подсчете количества детей на дату подачи заявления о предоставлении единовременной денежной выплаты для определения ее размера учитываются дети до достижения возраста </w:t>
      </w:r>
      <w:r>
        <w:rPr>
          <w:sz w:val="28"/>
          <w:szCs w:val="28"/>
          <w:highlight w:val="none"/>
        </w:rPr>
        <w:t xml:space="preserve">23 лет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на дату постановки на учет на земельный участок, а также дети, рожденные после постановки на учет на земельный участок.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абзац второй пункта 5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fill="ffffff"/>
        <w:rPr>
          <w:color w:val="21212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212121"/>
          <w:sz w:val="28"/>
          <w:szCs w:val="28"/>
          <w:highlight w:val="none"/>
        </w:rPr>
        <w:t xml:space="preserve">«</w:t>
      </w:r>
      <w:r>
        <w:rPr>
          <w:color w:val="212121"/>
          <w:sz w:val="28"/>
          <w:szCs w:val="28"/>
          <w:highlight w:val="none"/>
        </w:rPr>
        <w:t xml:space="preserve">Если гражданин </w:t>
      </w:r>
      <w:r>
        <w:rPr>
          <w:color w:val="212121"/>
          <w:sz w:val="28"/>
          <w:szCs w:val="28"/>
          <w:highlight w:val="none"/>
        </w:rPr>
        <w:t xml:space="preserve">был поставлен </w:t>
      </w:r>
      <w:r>
        <w:rPr>
          <w:color w:val="212121"/>
          <w:sz w:val="28"/>
          <w:szCs w:val="28"/>
          <w:highlight w:val="none"/>
        </w:rPr>
        <w:t xml:space="preserve">на учет</w:t>
      </w:r>
      <w:r>
        <w:rPr>
          <w:color w:val="212121"/>
          <w:sz w:val="28"/>
          <w:szCs w:val="28"/>
          <w:highlight w:val="none"/>
        </w:rPr>
        <w:t xml:space="preserve"> на земельный участок министерств</w:t>
      </w:r>
      <w:r>
        <w:rPr>
          <w:color w:val="212121"/>
          <w:sz w:val="28"/>
          <w:szCs w:val="28"/>
          <w:highlight w:val="none"/>
        </w:rPr>
        <w:t xml:space="preserve">ом</w:t>
      </w:r>
      <w:r>
        <w:rPr>
          <w:color w:val="212121"/>
          <w:sz w:val="28"/>
          <w:szCs w:val="28"/>
          <w:highlight w:val="none"/>
        </w:rPr>
        <w:t xml:space="preserve"> труда и социального развития Новосибирской области либо </w:t>
      </w:r>
      <w:r>
        <w:rPr>
          <w:color w:val="212121"/>
          <w:sz w:val="28"/>
          <w:szCs w:val="28"/>
          <w:highlight w:val="none"/>
        </w:rPr>
        <w:t xml:space="preserve">департаментом имущества и земельных отношений Новосибирской области, </w:t>
      </w:r>
      <w:r>
        <w:rPr>
          <w:color w:val="212121"/>
          <w:sz w:val="28"/>
          <w:szCs w:val="28"/>
          <w:highlight w:val="none"/>
        </w:rPr>
        <w:t xml:space="preserve">то список формируется органом местного самоуправления по месту жительства гражданина по дате постановки на учет на земельный участок. Есл</w:t>
      </w:r>
      <w:r>
        <w:rPr>
          <w:color w:val="212121"/>
          <w:sz w:val="28"/>
          <w:szCs w:val="28"/>
          <w:highlight w:val="none"/>
        </w:rPr>
        <w:t xml:space="preserve">и гражданин </w:t>
      </w:r>
      <w:r>
        <w:rPr>
          <w:color w:val="212121"/>
          <w:sz w:val="28"/>
          <w:szCs w:val="28"/>
          <w:highlight w:val="none"/>
        </w:rPr>
        <w:t xml:space="preserve">был поставлен </w:t>
      </w:r>
      <w:r>
        <w:rPr>
          <w:color w:val="212121"/>
          <w:sz w:val="28"/>
          <w:szCs w:val="28"/>
          <w:highlight w:val="none"/>
        </w:rPr>
        <w:t xml:space="preserve">на учет</w:t>
      </w:r>
      <w:r>
        <w:rPr>
          <w:color w:val="212121"/>
          <w:sz w:val="28"/>
          <w:szCs w:val="28"/>
          <w:highlight w:val="none"/>
        </w:rPr>
        <w:t xml:space="preserve"> на земельный участок несколькими органами учета</w:t>
      </w:r>
      <w:r>
        <w:rPr>
          <w:color w:val="212121"/>
          <w:sz w:val="28"/>
          <w:szCs w:val="28"/>
          <w:highlight w:val="none"/>
        </w:rPr>
        <w:t xml:space="preserve"> (органом местного самоуправления, министерством труда и социального развития Новосибирской области, </w:t>
      </w:r>
      <w:r>
        <w:rPr>
          <w:color w:val="212121"/>
          <w:sz w:val="28"/>
          <w:szCs w:val="28"/>
          <w:highlight w:val="none"/>
        </w:rPr>
        <w:t xml:space="preserve">департаментом имущества и земельных отношений Новосибирской области</w:t>
      </w:r>
      <w:r>
        <w:rPr>
          <w:color w:val="212121"/>
          <w:sz w:val="28"/>
          <w:szCs w:val="28"/>
          <w:highlight w:val="none"/>
        </w:rPr>
        <w:t xml:space="preserve">), то список формируется органом местного самоуправления по месту жительства гражданина по бо</w:t>
      </w:r>
      <w:r>
        <w:rPr>
          <w:color w:val="212121"/>
          <w:sz w:val="28"/>
          <w:szCs w:val="28"/>
          <w:highlight w:val="none"/>
        </w:rPr>
        <w:t xml:space="preserve">лее ранней дате постановки гражданина на учет на земельный участок</w:t>
      </w:r>
      <w:r>
        <w:rPr>
          <w:color w:val="212121"/>
          <w:sz w:val="28"/>
          <w:szCs w:val="28"/>
          <w:highlight w:val="none"/>
        </w:rPr>
        <w:t xml:space="preserve">.</w:t>
      </w:r>
      <w:r>
        <w:rPr>
          <w:color w:val="212121"/>
          <w:sz w:val="28"/>
          <w:szCs w:val="28"/>
          <w:highlight w:val="none"/>
        </w:rPr>
        <w:t xml:space="preserve">»;</w:t>
      </w:r>
      <w:r>
        <w:rPr>
          <w:color w:val="212121"/>
          <w:sz w:val="28"/>
          <w:szCs w:val="28"/>
          <w:highlight w:val="none"/>
        </w:rPr>
      </w:r>
      <w:r>
        <w:rPr>
          <w:color w:val="212121"/>
          <w:sz w:val="28"/>
          <w:szCs w:val="28"/>
          <w:highlight w:val="none"/>
        </w:rPr>
      </w:r>
    </w:p>
    <w:p>
      <w:pPr>
        <w:contextualSpacing/>
        <w:ind w:firstLine="720"/>
        <w:jc w:val="both"/>
        <w:shd w:val="clear" w:color="ffffff" w:fill="ffffff"/>
        <w:rPr>
          <w:color w:val="21212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212121"/>
          <w:sz w:val="28"/>
          <w:szCs w:val="28"/>
          <w:highlight w:val="none"/>
        </w:rPr>
        <w:t xml:space="preserve">3</w:t>
      </w:r>
      <w:r>
        <w:rPr>
          <w:color w:val="212121"/>
          <w:sz w:val="28"/>
          <w:szCs w:val="28"/>
          <w:highlight w:val="none"/>
        </w:rPr>
        <w:t xml:space="preserve">) дополнить пунктом 5.4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следующего содержания:</w:t>
      </w:r>
      <w:r>
        <w:rPr>
          <w:color w:val="212121"/>
          <w:sz w:val="28"/>
          <w:szCs w:val="28"/>
          <w:highlight w:val="none"/>
        </w:rPr>
      </w:r>
      <w:r>
        <w:rPr>
          <w:color w:val="212121"/>
          <w:sz w:val="28"/>
          <w:szCs w:val="28"/>
          <w:highlight w:val="none"/>
        </w:rPr>
      </w:r>
    </w:p>
    <w:p>
      <w:pPr>
        <w:pStyle w:val="672"/>
        <w:contextualSpacing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«5.4.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случае, если гражданином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течение 30 календарных дней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представлено заявление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орган местного самоуправления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вправе направить уведомление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возможности получения единовременной денежной выплаты другому гражданину в порядке очередности исходя из даты постановки гражданина на учет на земельный участок.»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firstLine="720"/>
        <w:jc w:val="both"/>
        <w:shd w:val="clear" w:color="ffffff" w:fill="ffffff"/>
        <w:rPr>
          <w:color w:val="21212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212121"/>
          <w:sz w:val="28"/>
          <w:szCs w:val="28"/>
          <w:highlight w:val="none"/>
        </w:rPr>
        <w:t xml:space="preserve">4) в подпункте 4 пункта 8 слова «</w:t>
      </w:r>
      <w:r>
        <w:rPr>
          <w:color w:val="212121"/>
          <w:sz w:val="28"/>
          <w:szCs w:val="28"/>
          <w:highlight w:val="none"/>
        </w:rPr>
        <w:t xml:space="preserve">детей на территории Новосибирской области</w:t>
      </w:r>
      <w:r>
        <w:rPr>
          <w:color w:val="212121"/>
          <w:sz w:val="28"/>
          <w:szCs w:val="28"/>
          <w:highlight w:val="none"/>
        </w:rPr>
        <w:t xml:space="preserve">» заменить словами «</w:t>
      </w:r>
      <w:r>
        <w:rPr>
          <w:color w:val="212121"/>
          <w:sz w:val="28"/>
          <w:szCs w:val="28"/>
          <w:highlight w:val="none"/>
        </w:rPr>
        <w:t xml:space="preserve">детей, не достигших 23 лет, на территории Новосибирской области</w:t>
      </w:r>
      <w:r>
        <w:rPr>
          <w:color w:val="212121"/>
          <w:sz w:val="28"/>
          <w:szCs w:val="28"/>
          <w:highlight w:val="none"/>
        </w:rPr>
        <w:t xml:space="preserve">»;</w:t>
      </w:r>
      <w:r>
        <w:rPr>
          <w:color w:val="212121"/>
          <w:sz w:val="28"/>
          <w:szCs w:val="28"/>
        </w:rPr>
      </w:r>
      <w:r>
        <w:rPr>
          <w:color w:val="212121"/>
          <w:sz w:val="28"/>
          <w:szCs w:val="28"/>
        </w:rPr>
      </w:r>
    </w:p>
    <w:p>
      <w:pPr>
        <w:ind w:firstLine="720"/>
        <w:jc w:val="both"/>
        <w:shd w:val="clear" w:color="ffffff" w:fill="ffffff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15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дополнить абзацем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shd w:val="clear" w:color="ffffff" w:fill="ffffff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«В случае реализации гражданином права на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предоставление единовременной денежной выплаты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второй родитель (опекун, попечитель),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состоящий на учете на земельный участок по основанию, предусмотренному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подпунктом «а» пункта 4 части 1 статьи 5 Закона № 112-ОЗ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подлежит снятию органом местного самоуправления с учета на земельный участок в соответствии с пунктом 2 части 10 статьи 6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Закона № 112-ОЗ.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2. </w:t>
      </w:r>
      <w:r>
        <w:rPr>
          <w:sz w:val="28"/>
          <w:szCs w:val="28"/>
        </w:rPr>
        <w:t xml:space="preserve">Вне</w:t>
      </w:r>
      <w:r>
        <w:rPr>
          <w:sz w:val="28"/>
          <w:szCs w:val="28"/>
        </w:rPr>
        <w:t xml:space="preserve">сти в постановление Правительства Новосибирской области от 31.07.2023 № 350-п «О Порядке предоставления отдельным категориям граждан единовременной денежной выплаты взамен земельного участка для индивидуального жилищного строительства»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Порядке предоставления отдельным категориям граждан единовременной денежной выплаты взамен земельного участка для индивидуального жилищного строительства: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абзац второй пункта 5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color w:val="212121"/>
          <w:sz w:val="28"/>
          <w:szCs w:val="28"/>
          <w:highlight w:val="none"/>
        </w:rPr>
        <w:t xml:space="preserve">Если гражданин </w:t>
      </w:r>
      <w:r>
        <w:rPr>
          <w:color w:val="212121"/>
          <w:sz w:val="28"/>
          <w:szCs w:val="28"/>
          <w:highlight w:val="none"/>
        </w:rPr>
        <w:t xml:space="preserve">был поставлен </w:t>
      </w:r>
      <w:r>
        <w:rPr>
          <w:color w:val="212121"/>
          <w:sz w:val="28"/>
          <w:szCs w:val="28"/>
          <w:highlight w:val="none"/>
        </w:rPr>
        <w:t xml:space="preserve">на учет</w:t>
      </w:r>
      <w:r>
        <w:rPr>
          <w:color w:val="212121"/>
          <w:sz w:val="28"/>
          <w:szCs w:val="28"/>
          <w:highlight w:val="none"/>
        </w:rPr>
        <w:t xml:space="preserve"> на земельный участок министерств</w:t>
      </w:r>
      <w:r>
        <w:rPr>
          <w:color w:val="212121"/>
          <w:sz w:val="28"/>
          <w:szCs w:val="28"/>
          <w:highlight w:val="none"/>
        </w:rPr>
        <w:t xml:space="preserve">ом</w:t>
      </w:r>
      <w:r>
        <w:rPr>
          <w:color w:val="212121"/>
          <w:sz w:val="28"/>
          <w:szCs w:val="28"/>
          <w:highlight w:val="none"/>
        </w:rPr>
        <w:t xml:space="preserve"> труда и социального развития Новосибирской области либо </w:t>
      </w:r>
      <w:r>
        <w:rPr>
          <w:color w:val="212121"/>
          <w:sz w:val="28"/>
          <w:szCs w:val="28"/>
          <w:highlight w:val="none"/>
        </w:rPr>
        <w:t xml:space="preserve">департаментом имущества и земельных отношений Новосибирской области, </w:t>
      </w:r>
      <w:r>
        <w:rPr>
          <w:color w:val="212121"/>
          <w:sz w:val="28"/>
          <w:szCs w:val="28"/>
          <w:highlight w:val="none"/>
        </w:rPr>
        <w:t xml:space="preserve">то список формируется органом местного самоуправления по месту жительства гражданина по дате постановки на учет на земельный участок. Есл</w:t>
      </w:r>
      <w:r>
        <w:rPr>
          <w:color w:val="212121"/>
          <w:sz w:val="28"/>
          <w:szCs w:val="28"/>
          <w:highlight w:val="none"/>
        </w:rPr>
        <w:t xml:space="preserve">и гражданин </w:t>
      </w:r>
      <w:r>
        <w:rPr>
          <w:color w:val="212121"/>
          <w:sz w:val="28"/>
          <w:szCs w:val="28"/>
          <w:highlight w:val="none"/>
        </w:rPr>
        <w:t xml:space="preserve">был поставлен </w:t>
      </w:r>
      <w:r>
        <w:rPr>
          <w:color w:val="212121"/>
          <w:sz w:val="28"/>
          <w:szCs w:val="28"/>
          <w:highlight w:val="none"/>
        </w:rPr>
        <w:t xml:space="preserve">на учет</w:t>
      </w:r>
      <w:r>
        <w:rPr>
          <w:color w:val="212121"/>
          <w:sz w:val="28"/>
          <w:szCs w:val="28"/>
          <w:highlight w:val="none"/>
        </w:rPr>
        <w:t xml:space="preserve"> на земельный участок несколькими органами учета</w:t>
      </w:r>
      <w:r>
        <w:rPr>
          <w:color w:val="212121"/>
          <w:sz w:val="28"/>
          <w:szCs w:val="28"/>
          <w:highlight w:val="none"/>
        </w:rPr>
        <w:t xml:space="preserve"> (органом местного самоуправления, министерством труда и социального развития Новосибирской области, </w:t>
      </w:r>
      <w:r>
        <w:rPr>
          <w:color w:val="212121"/>
          <w:sz w:val="28"/>
          <w:szCs w:val="28"/>
          <w:highlight w:val="none"/>
        </w:rPr>
        <w:t xml:space="preserve">департаментом имущества и земельных отношений Новосибирской области</w:t>
      </w:r>
      <w:r>
        <w:rPr>
          <w:color w:val="212121"/>
          <w:sz w:val="28"/>
          <w:szCs w:val="28"/>
          <w:highlight w:val="none"/>
        </w:rPr>
        <w:t xml:space="preserve">), то список формируется органом местного самоуправления </w:t>
      </w:r>
      <w:r>
        <w:rPr>
          <w:color w:val="212121"/>
          <w:sz w:val="28"/>
          <w:szCs w:val="28"/>
          <w:highlight w:val="none"/>
        </w:rPr>
        <w:t xml:space="preserve">по месту жительства гражданина</w:t>
      </w:r>
      <w:r>
        <w:rPr>
          <w:color w:val="212121"/>
          <w:sz w:val="28"/>
          <w:szCs w:val="28"/>
          <w:highlight w:val="none"/>
        </w:rPr>
        <w:t xml:space="preserve"> по бо</w:t>
      </w:r>
      <w:r>
        <w:rPr>
          <w:color w:val="212121"/>
          <w:sz w:val="28"/>
          <w:szCs w:val="28"/>
          <w:highlight w:val="none"/>
        </w:rPr>
        <w:t xml:space="preserve">лее ранней дате постановки гражданина на учет на земельный участок.</w:t>
      </w:r>
      <w:r>
        <w:rPr>
          <w:color w:val="212121"/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2) пункт 16 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«В случае непредставления гражданином в установленный срок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отчета о целевом использовании </w:t>
      </w:r>
      <w:r>
        <w:rPr>
          <w:rFonts w:eastAsia="Calibri" w:cs="Calibri"/>
          <w:sz w:val="28"/>
          <w:szCs w:val="28"/>
        </w:rPr>
        <w:t xml:space="preserve">единовременной денежной выплаты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 поступлении в орган местного самоуправления информации об участии гражданина </w:t>
      </w:r>
      <w:r>
        <w:rPr>
          <w:rFonts w:eastAsia="Calibri"/>
          <w:sz w:val="28"/>
          <w:szCs w:val="28"/>
        </w:rPr>
        <w:t xml:space="preserve">в специальной военной операции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срок представления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отчета о целевом использовании </w:t>
      </w:r>
      <w:r>
        <w:rPr>
          <w:rFonts w:eastAsia="Calibri" w:cs="Calibri"/>
          <w:sz w:val="28"/>
          <w:szCs w:val="28"/>
        </w:rPr>
        <w:t xml:space="preserve">единовременной денежной выплаты</w:t>
      </w:r>
      <w:r>
        <w:rPr>
          <w:rFonts w:eastAsia="Calibri" w:cs="Calibri"/>
          <w:sz w:val="28"/>
          <w:szCs w:val="28"/>
        </w:rPr>
        <w:t xml:space="preserve"> продлевается 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рганом местного самоуправления </w:t>
      </w:r>
      <w:r>
        <w:rPr>
          <w:rFonts w:eastAsia="Calibri" w:cs="Calibri"/>
          <w:sz w:val="28"/>
          <w:szCs w:val="28"/>
        </w:rPr>
        <w:t xml:space="preserve">на </w:t>
      </w:r>
      <w:r>
        <w:rPr>
          <w:rFonts w:eastAsia="Calibri"/>
          <w:sz w:val="28"/>
          <w:szCs w:val="28"/>
        </w:rPr>
        <w:t xml:space="preserve">шесть месяцев</w:t>
      </w:r>
      <w:r>
        <w:rPr>
          <w:rFonts w:eastAsia="Calibri"/>
          <w:sz w:val="28"/>
          <w:szCs w:val="28"/>
        </w:rPr>
        <w:t xml:space="preserve">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  <w:t xml:space="preserve">Е.В. </w:t>
      </w:r>
      <w:r>
        <w:rPr>
          <w:sz w:val="20"/>
          <w:szCs w:val="20"/>
        </w:rPr>
        <w:t xml:space="preserve">Бахарева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  <w:t xml:space="preserve">238 75 10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notePr/>
      <w:endnotePr/>
      <w:type w:val="continuous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7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673">
    <w:name w:val="Heading 1"/>
    <w:basedOn w:val="672"/>
    <w:next w:val="672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4">
    <w:name w:val="Heading 2"/>
    <w:basedOn w:val="672"/>
    <w:next w:val="672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5">
    <w:name w:val="Heading 3"/>
    <w:basedOn w:val="672"/>
    <w:next w:val="672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6">
    <w:name w:val="Heading 4"/>
    <w:basedOn w:val="672"/>
    <w:next w:val="672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672"/>
    <w:next w:val="672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8">
    <w:name w:val="Heading 6"/>
    <w:basedOn w:val="672"/>
    <w:next w:val="672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672"/>
    <w:next w:val="672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672"/>
    <w:next w:val="672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1">
    <w:name w:val="Heading 9"/>
    <w:basedOn w:val="672"/>
    <w:next w:val="672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character" w:styleId="68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86" w:customStyle="1">
    <w:name w:val="Heading 2 Char"/>
    <w:uiPriority w:val="9"/>
    <w:rPr>
      <w:rFonts w:ascii="Arial" w:hAnsi="Arial" w:eastAsia="Arial" w:cs="Arial"/>
      <w:sz w:val="34"/>
    </w:rPr>
  </w:style>
  <w:style w:type="character" w:styleId="687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88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89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90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91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2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93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694" w:customStyle="1">
    <w:name w:val="Title Char"/>
    <w:uiPriority w:val="10"/>
    <w:rPr>
      <w:sz w:val="48"/>
      <w:szCs w:val="48"/>
    </w:rPr>
  </w:style>
  <w:style w:type="character" w:styleId="695" w:customStyle="1">
    <w:name w:val="Subtitle Char"/>
    <w:uiPriority w:val="11"/>
    <w:rPr>
      <w:sz w:val="24"/>
      <w:szCs w:val="24"/>
    </w:rPr>
  </w:style>
  <w:style w:type="character" w:styleId="696" w:customStyle="1">
    <w:name w:val="Quote Char"/>
    <w:uiPriority w:val="29"/>
    <w:rPr>
      <w:i/>
    </w:rPr>
  </w:style>
  <w:style w:type="character" w:styleId="697" w:customStyle="1">
    <w:name w:val="Intense Quote Char"/>
    <w:uiPriority w:val="30"/>
    <w:rPr>
      <w:i/>
    </w:rPr>
  </w:style>
  <w:style w:type="character" w:styleId="698" w:customStyle="1">
    <w:name w:val="Footnote Text Char"/>
    <w:uiPriority w:val="99"/>
    <w:rPr>
      <w:sz w:val="18"/>
    </w:rPr>
  </w:style>
  <w:style w:type="character" w:styleId="699" w:customStyle="1">
    <w:name w:val="Endnote Text Char"/>
    <w:uiPriority w:val="99"/>
    <w:rPr>
      <w:sz w:val="20"/>
    </w:rPr>
  </w:style>
  <w:style w:type="character" w:styleId="700" w:customStyle="1">
    <w:name w:val="Заголовок 1 Знак"/>
    <w:link w:val="673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Заголовок 2 Знак"/>
    <w:link w:val="674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link w:val="675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Заголовок 4 Знак"/>
    <w:link w:val="676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link w:val="677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link w:val="678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link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672"/>
    <w:uiPriority w:val="34"/>
    <w:qFormat/>
    <w:pPr>
      <w:contextualSpacing/>
      <w:ind w:left="720"/>
    </w:pPr>
  </w:style>
  <w:style w:type="paragraph" w:styleId="710">
    <w:name w:val="No Spacing"/>
    <w:uiPriority w:val="1"/>
    <w:qFormat/>
    <w:rPr>
      <w:rFonts w:ascii="Times New Roman" w:hAnsi="Times New Roman" w:eastAsia="Times New Roman"/>
      <w:sz w:val="24"/>
      <w:szCs w:val="24"/>
    </w:rPr>
  </w:style>
  <w:style w:type="paragraph" w:styleId="711">
    <w:name w:val="Title"/>
    <w:basedOn w:val="672"/>
    <w:next w:val="672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Заголовок Знак"/>
    <w:link w:val="711"/>
    <w:uiPriority w:val="10"/>
    <w:rPr>
      <w:sz w:val="48"/>
      <w:szCs w:val="48"/>
    </w:rPr>
  </w:style>
  <w:style w:type="paragraph" w:styleId="713">
    <w:name w:val="Subtitle"/>
    <w:basedOn w:val="672"/>
    <w:next w:val="672"/>
    <w:link w:val="714"/>
    <w:uiPriority w:val="11"/>
    <w:qFormat/>
    <w:pPr>
      <w:spacing w:before="200" w:after="200"/>
    </w:pPr>
  </w:style>
  <w:style w:type="character" w:styleId="714" w:customStyle="1">
    <w:name w:val="Подзаголовок Знак"/>
    <w:link w:val="713"/>
    <w:uiPriority w:val="11"/>
    <w:rPr>
      <w:sz w:val="24"/>
      <w:szCs w:val="24"/>
    </w:rPr>
  </w:style>
  <w:style w:type="paragraph" w:styleId="715">
    <w:name w:val="Quote"/>
    <w:basedOn w:val="672"/>
    <w:next w:val="672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72"/>
    <w:next w:val="672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>
    <w:name w:val="Header"/>
    <w:basedOn w:val="672"/>
    <w:link w:val="873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20" w:customStyle="1">
    <w:name w:val="Header Char"/>
    <w:uiPriority w:val="99"/>
  </w:style>
  <w:style w:type="paragraph" w:styleId="721">
    <w:name w:val="Footer"/>
    <w:basedOn w:val="672"/>
    <w:link w:val="874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22" w:customStyle="1">
    <w:name w:val="Footer Char"/>
    <w:uiPriority w:val="99"/>
  </w:style>
  <w:style w:type="paragraph" w:styleId="723">
    <w:name w:val="Caption"/>
    <w:basedOn w:val="672"/>
    <w:next w:val="672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4" w:customStyle="1">
    <w:name w:val="Caption Char"/>
    <w:uiPriority w:val="99"/>
  </w:style>
  <w:style w:type="table" w:styleId="725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1">
    <w:name w:val="Hyperlink"/>
    <w:uiPriority w:val="99"/>
    <w:unhideWhenUsed/>
    <w:rPr>
      <w:color w:val="0000ff"/>
      <w:u w:val="single"/>
    </w:rPr>
  </w:style>
  <w:style w:type="paragraph" w:styleId="852">
    <w:name w:val="footnote text"/>
    <w:basedOn w:val="672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672"/>
    <w:link w:val="856"/>
    <w:uiPriority w:val="99"/>
    <w:semiHidden/>
    <w:unhideWhenUsed/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672"/>
    <w:next w:val="672"/>
    <w:uiPriority w:val="39"/>
    <w:unhideWhenUsed/>
    <w:pPr>
      <w:spacing w:after="57"/>
    </w:pPr>
  </w:style>
  <w:style w:type="paragraph" w:styleId="859">
    <w:name w:val="toc 2"/>
    <w:basedOn w:val="672"/>
    <w:next w:val="672"/>
    <w:uiPriority w:val="39"/>
    <w:unhideWhenUsed/>
    <w:pPr>
      <w:ind w:left="283"/>
      <w:spacing w:after="57"/>
    </w:pPr>
  </w:style>
  <w:style w:type="paragraph" w:styleId="860">
    <w:name w:val="toc 3"/>
    <w:basedOn w:val="672"/>
    <w:next w:val="672"/>
    <w:uiPriority w:val="39"/>
    <w:unhideWhenUsed/>
    <w:pPr>
      <w:ind w:left="567"/>
      <w:spacing w:after="57"/>
    </w:pPr>
  </w:style>
  <w:style w:type="paragraph" w:styleId="861">
    <w:name w:val="toc 4"/>
    <w:basedOn w:val="672"/>
    <w:next w:val="672"/>
    <w:uiPriority w:val="39"/>
    <w:unhideWhenUsed/>
    <w:pPr>
      <w:ind w:left="850"/>
      <w:spacing w:after="57"/>
    </w:pPr>
  </w:style>
  <w:style w:type="paragraph" w:styleId="862">
    <w:name w:val="toc 5"/>
    <w:basedOn w:val="672"/>
    <w:next w:val="672"/>
    <w:uiPriority w:val="39"/>
    <w:unhideWhenUsed/>
    <w:pPr>
      <w:ind w:left="1134"/>
      <w:spacing w:after="57"/>
    </w:pPr>
  </w:style>
  <w:style w:type="paragraph" w:styleId="863">
    <w:name w:val="toc 6"/>
    <w:basedOn w:val="672"/>
    <w:next w:val="672"/>
    <w:uiPriority w:val="39"/>
    <w:unhideWhenUsed/>
    <w:pPr>
      <w:ind w:left="1417"/>
      <w:spacing w:after="57"/>
    </w:pPr>
  </w:style>
  <w:style w:type="paragraph" w:styleId="864">
    <w:name w:val="toc 7"/>
    <w:basedOn w:val="672"/>
    <w:next w:val="672"/>
    <w:uiPriority w:val="39"/>
    <w:unhideWhenUsed/>
    <w:pPr>
      <w:ind w:left="1701"/>
      <w:spacing w:after="57"/>
    </w:pPr>
  </w:style>
  <w:style w:type="paragraph" w:styleId="865">
    <w:name w:val="toc 8"/>
    <w:basedOn w:val="672"/>
    <w:next w:val="672"/>
    <w:uiPriority w:val="39"/>
    <w:unhideWhenUsed/>
    <w:pPr>
      <w:ind w:left="1984"/>
      <w:spacing w:after="57"/>
    </w:pPr>
  </w:style>
  <w:style w:type="paragraph" w:styleId="866">
    <w:name w:val="toc 9"/>
    <w:basedOn w:val="672"/>
    <w:next w:val="672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  <w:rPr>
      <w:lang w:eastAsia="zh-CN"/>
    </w:rPr>
  </w:style>
  <w:style w:type="paragraph" w:styleId="868">
    <w:name w:val="table of figures"/>
    <w:basedOn w:val="672"/>
    <w:next w:val="672"/>
    <w:uiPriority w:val="99"/>
    <w:unhideWhenUsed/>
  </w:style>
  <w:style w:type="character" w:styleId="869">
    <w:name w:val="Strong"/>
    <w:qFormat/>
    <w:rPr>
      <w:b/>
      <w:bCs/>
    </w:rPr>
  </w:style>
  <w:style w:type="paragraph" w:styleId="870">
    <w:name w:val="Balloon Text"/>
    <w:basedOn w:val="672"/>
    <w:link w:val="871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1" w:customStyle="1">
    <w:name w:val="Текст выноски Знак"/>
    <w:link w:val="870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72" w:customStyle="1">
    <w:name w:val="ConsPlusNormal"/>
    <w:pPr>
      <w:widowControl w:val="off"/>
    </w:pPr>
    <w:rPr>
      <w:rFonts w:eastAsia="Times New Roman" w:cs="Calibri"/>
      <w:sz w:val="22"/>
    </w:rPr>
  </w:style>
  <w:style w:type="character" w:styleId="873" w:customStyle="1">
    <w:name w:val="Верхний колонтитул Знак"/>
    <w:link w:val="719"/>
    <w:uiPriority w:val="99"/>
    <w:rPr>
      <w:rFonts w:ascii="Times New Roman" w:hAnsi="Times New Roman" w:eastAsia="Times New Roman"/>
      <w:sz w:val="24"/>
      <w:szCs w:val="24"/>
    </w:rPr>
  </w:style>
  <w:style w:type="character" w:styleId="874" w:customStyle="1">
    <w:name w:val="Нижний колонтитул Знак"/>
    <w:link w:val="721"/>
    <w:uiPriority w:val="99"/>
    <w:rPr>
      <w:rFonts w:ascii="Times New Roman" w:hAnsi="Times New Roman" w:eastAsia="Times New Roman"/>
      <w:sz w:val="24"/>
      <w:szCs w:val="24"/>
    </w:rPr>
  </w:style>
  <w:style w:type="character" w:styleId="875">
    <w:name w:val="annotation reference"/>
    <w:uiPriority w:val="99"/>
    <w:semiHidden/>
    <w:unhideWhenUsed/>
    <w:rPr>
      <w:sz w:val="16"/>
      <w:szCs w:val="16"/>
    </w:rPr>
  </w:style>
  <w:style w:type="paragraph" w:styleId="876">
    <w:name w:val="annotation text"/>
    <w:basedOn w:val="672"/>
    <w:link w:val="877"/>
    <w:uiPriority w:val="99"/>
    <w:semiHidden/>
    <w:unhideWhenUsed/>
    <w:rPr>
      <w:sz w:val="20"/>
      <w:szCs w:val="20"/>
      <w:lang w:val="en-US" w:eastAsia="en-US"/>
    </w:rPr>
  </w:style>
  <w:style w:type="character" w:styleId="877" w:customStyle="1">
    <w:name w:val="Текст примечания Знак"/>
    <w:link w:val="876"/>
    <w:uiPriority w:val="99"/>
    <w:semiHidden/>
    <w:rPr>
      <w:rFonts w:ascii="Times New Roman" w:hAnsi="Times New Roman" w:eastAsia="Times New Roman"/>
    </w:rPr>
  </w:style>
  <w:style w:type="paragraph" w:styleId="878">
    <w:name w:val="annotation subject"/>
    <w:basedOn w:val="876"/>
    <w:next w:val="876"/>
    <w:link w:val="879"/>
    <w:uiPriority w:val="99"/>
    <w:semiHidden/>
    <w:unhideWhenUsed/>
    <w:rPr>
      <w:b/>
      <w:bCs/>
    </w:rPr>
  </w:style>
  <w:style w:type="character" w:styleId="879" w:customStyle="1">
    <w:name w:val="Тема примечания Знак"/>
    <w:link w:val="878"/>
    <w:uiPriority w:val="99"/>
    <w:semiHidden/>
    <w:rPr>
      <w:rFonts w:ascii="Times New Roman" w:hAnsi="Times New Roman" w:eastAsia="Times New Roman"/>
      <w:b/>
      <w:bCs/>
    </w:rPr>
  </w:style>
  <w:style w:type="paragraph" w:styleId="880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881">
    <w:name w:val="Revision"/>
    <w:hidden/>
    <w:uiPriority w:val="99"/>
    <w:semiHidden/>
    <w:rPr>
      <w:rFonts w:ascii="Times New Roman" w:hAnsi="Times New Roman" w:eastAsia="Times New Roman"/>
      <w:sz w:val="24"/>
      <w:szCs w:val="24"/>
    </w:rPr>
  </w:style>
  <w:style w:type="paragraph" w:styleId="882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Турнаева Екатерина Вадимовна</dc:creator>
  <cp:revision>52</cp:revision>
  <dcterms:created xsi:type="dcterms:W3CDTF">2024-11-06T08:21:00Z</dcterms:created>
  <dcterms:modified xsi:type="dcterms:W3CDTF">2025-09-15T04:21:57Z</dcterms:modified>
  <cp:version>917504</cp:version>
</cp:coreProperties>
</file>