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0" w:right="0" w:firstLine="7087"/>
        <w:jc w:val="left"/>
        <w:spacing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386" w:right="0" w:firstLine="0"/>
        <w:jc w:val="center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left="0" w:right="0" w:firstLine="0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left="0" w:right="-144" w:firstLine="0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left="0" w:right="-144" w:firstLine="0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1"/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Правительства Новосибирской области от 30.12.2020 № 566-п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1"/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постановление Правительства Новосибирской области от 30.12.2020 № 566-п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порядке фор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мирования государственных социальных заказов на оказание государственных услуг в социальной сфере, отнесенных к полномочиям областных исполнительных органов Новосибирской области, о форме и сроках формирования отчета об их исполнении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 Пункты 3, 4 признать утратившими силу.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 В пункте 5 слова «Нелюбова С.А.»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«Хальзова К.В.».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 В Правилах формирования госу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дарственных социальных заказов на оказание государственных услуг в социальной сфере, отнесенных к полномочиям областных исполнительных органов государственной власти Новосибирской области: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71"/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в пункте 1: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 абзац третий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 абзац седьмой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«правила осуществления контроля областными исполнительными органами Новосибирской области, уполномоченными на фор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мирование государственных социальных заказов Новосибирской области (далее – уполномоченные органы) за оказанием государственных услуг в социальной сфере, отнесенных к полномочиям уполномоченных органов (далее – государственная услуга в социальной сфере).».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пункт 2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3) пункт 3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Социальные заказы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формируются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бюджет».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Информация о перечне государственных услуг в социальной сфере, в отношении которых формируется государственный социальный заказ, размещается на едином портале бюджетной системы Российской Федерации в информационно-телекоммуникационной сети «Интернет»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соответствии с пунктом 4.1 статьи 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Федерального закона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.»;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4) пункт 7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«7. Социальный заказ Новосибирской области утверждается соответ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ствующим уполномоченным органом до начала очередного финансового года, но не позднее 15 рабочих дней со дня принятия закона Новосибирской области об областном бюджете Новосибирской области на очередной финансовый год и плановый период путем его подписания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усиленной квалифицированной электронной подписью лица, имеющего право действовать от имени соответствующего уполномоченного органа.»;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5) в приложении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«Государственный социальный заказ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оказание государственных услуг в социальной сфере,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отнесенных к полномочиям областных исполнительных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органов Новосибирской области, на 20_____ год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на плановый период 20____ - 20____ годов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»: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а) слова «Направление деятельности» заменить словами «Отрасль социальной сферы»;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б) сноску 3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«&lt;3&gt; – указывается отрасль социальной сферы, определенная частью 1 статьи 1 Федерального закона «О государственном (муниципальном) социальном заказе на оказание государственных (муниципальных) услуг в социальной сфере»;».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 В приложении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«Ф</w:t>
      </w:r>
      <w:bookmarkStart w:id="43" w:name="Par1245"/>
      <w:r>
        <w:rPr>
          <w:rFonts w:ascii="Times New Roman" w:hAnsi="Times New Roman" w:eastAsia="Times New Roman" w:cs="Times New Roman"/>
          <w:sz w:val="28"/>
          <w:szCs w:val="28"/>
        </w:rPr>
      </w:r>
      <w:bookmarkEnd w:id="43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орма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тчета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исполнении государственного социального заказа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оказание государственных услуг в социальной сфере,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отнесенных к полномочиям областных исполнительных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1) слова «Направление деятельности» заменить словами «Отрасль социальной сферы»;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2) сноску 4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«&lt;4&gt; – указывается отрасль социальной сферы, определенная в соответствии с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частью 1 статьи 1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Федерального закона «О государственном (муниципальном) социальном заказе на оказание государственных (муниципальных) услуг в социальной сфере».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71"/>
        <w:jc w:val="both"/>
        <w:spacing w:after="0" w:afterAutospacing="0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</w:t>
        <w:tab/>
        <w:tab/>
        <w:tab/>
        <w:tab/>
        <w:t xml:space="preserve">           А.А. Травников</w:t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71"/>
        <w:ind w:right="-1" w:firstLine="0"/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71"/>
        <w:ind w:right="-1" w:firstLine="0"/>
        <w:spacing w:after="0" w:afterAutospacing="0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Е.В. Бахарева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871"/>
        <w:ind w:right="-1" w:firstLine="0"/>
        <w:spacing w:after="0" w:afterAutospacing="0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238 75 10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afterAutospacing="0" w:line="17" w:lineRule="atLeast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708" w:bottom="39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1"/>
    <w:next w:val="87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1"/>
    <w:next w:val="87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No Spacing"/>
    <w:basedOn w:val="871"/>
    <w:uiPriority w:val="1"/>
    <w:qFormat/>
    <w:pPr>
      <w:spacing w:after="0" w:line="240" w:lineRule="auto"/>
    </w:pPr>
  </w:style>
  <w:style w:type="paragraph" w:styleId="875">
    <w:name w:val="List Paragraph"/>
    <w:basedOn w:val="871"/>
    <w:uiPriority w:val="34"/>
    <w:qFormat/>
    <w:pPr>
      <w:contextualSpacing/>
      <w:ind w:left="720"/>
    </w:pPr>
  </w:style>
  <w:style w:type="character" w:styleId="876" w:default="1">
    <w:name w:val="Default Paragraph Font"/>
    <w:uiPriority w:val="1"/>
    <w:semiHidden/>
    <w:unhideWhenUsed/>
  </w:style>
  <w:style w:type="paragraph" w:styleId="87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2025-08-05T07:42:59Z</dcterms:modified>
</cp:coreProperties>
</file>